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BC93B" w14:textId="77777777" w:rsidR="00005D84" w:rsidRPr="007F43F6" w:rsidRDefault="00005D84" w:rsidP="00005D84">
      <w:pPr>
        <w:spacing w:line="360" w:lineRule="auto"/>
        <w:jc w:val="both"/>
        <w:rPr>
          <w:color w:val="000000"/>
          <w:sz w:val="24"/>
          <w:szCs w:val="24"/>
        </w:rPr>
      </w:pPr>
    </w:p>
    <w:p w14:paraId="52A48E35" w14:textId="08947D9A" w:rsidR="00005D84" w:rsidRPr="004926F7" w:rsidRDefault="004926F7" w:rsidP="004926F7">
      <w:pPr>
        <w:spacing w:line="360" w:lineRule="auto"/>
        <w:jc w:val="center"/>
        <w:rPr>
          <w:b/>
          <w:bCs/>
          <w:color w:val="000000"/>
          <w:sz w:val="28"/>
          <w:szCs w:val="28"/>
        </w:rPr>
      </w:pPr>
      <w:r w:rsidRPr="004926F7">
        <w:rPr>
          <w:b/>
          <w:bCs/>
          <w:color w:val="000000"/>
          <w:sz w:val="28"/>
          <w:szCs w:val="28"/>
        </w:rPr>
        <w:t>VATARAKTA BEYOND GOUT: A CRITICAL NARRATIVE REVIEW AND PROPOSED MULTIDOMAIN  CORRELATION FRAMEWORK</w:t>
      </w:r>
    </w:p>
    <w:p w14:paraId="0DF073D4"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    </w:t>
      </w:r>
    </w:p>
    <w:p w14:paraId="58EAE962" w14:textId="216AD400" w:rsidR="00005D84" w:rsidRPr="007F43F6" w:rsidRDefault="00005D84" w:rsidP="00005D84">
      <w:pPr>
        <w:spacing w:line="360" w:lineRule="auto"/>
        <w:jc w:val="both"/>
        <w:rPr>
          <w:b/>
          <w:bCs/>
          <w:color w:val="000000"/>
          <w:sz w:val="24"/>
          <w:szCs w:val="24"/>
        </w:rPr>
      </w:pPr>
      <w:r w:rsidRPr="007F43F6">
        <w:rPr>
          <w:color w:val="000000"/>
          <w:sz w:val="24"/>
          <w:szCs w:val="24"/>
        </w:rPr>
        <w:t xml:space="preserve">                                         </w:t>
      </w:r>
      <w:r w:rsidRPr="007F43F6">
        <w:rPr>
          <w:b/>
          <w:bCs/>
          <w:color w:val="000000"/>
          <w:sz w:val="24"/>
          <w:szCs w:val="24"/>
        </w:rPr>
        <w:t>Rahul B. Gupta</w:t>
      </w:r>
      <w:r w:rsidRPr="007F43F6">
        <w:rPr>
          <w:b/>
          <w:bCs/>
          <w:color w:val="000000"/>
          <w:sz w:val="24"/>
          <w:szCs w:val="24"/>
          <w:vertAlign w:val="superscript"/>
        </w:rPr>
        <w:t>1*</w:t>
      </w:r>
      <w:r w:rsidRPr="007F43F6">
        <w:rPr>
          <w:b/>
          <w:bCs/>
          <w:color w:val="000000"/>
          <w:sz w:val="24"/>
          <w:szCs w:val="24"/>
        </w:rPr>
        <w:t xml:space="preserve"> , Dr. Sonam P. Kanzode</w:t>
      </w:r>
      <w:r w:rsidRPr="007F43F6">
        <w:rPr>
          <w:b/>
          <w:bCs/>
          <w:color w:val="000000"/>
          <w:sz w:val="24"/>
          <w:szCs w:val="24"/>
          <w:vertAlign w:val="superscript"/>
        </w:rPr>
        <w:t>2</w:t>
      </w:r>
    </w:p>
    <w:p w14:paraId="20B68D8B" w14:textId="5EF71551" w:rsidR="00005D84" w:rsidRPr="007F43F6" w:rsidRDefault="00005D84" w:rsidP="00005D84">
      <w:pPr>
        <w:spacing w:line="360" w:lineRule="auto"/>
        <w:jc w:val="both"/>
        <w:rPr>
          <w:color w:val="000000"/>
          <w:sz w:val="24"/>
          <w:szCs w:val="24"/>
        </w:rPr>
      </w:pPr>
      <w:r w:rsidRPr="007F43F6">
        <w:rPr>
          <w:color w:val="000000"/>
          <w:sz w:val="24"/>
          <w:szCs w:val="24"/>
        </w:rPr>
        <w:t xml:space="preserve">1*. BAMS Student, DMM </w:t>
      </w:r>
      <w:proofErr w:type="spellStart"/>
      <w:r w:rsidRPr="007F43F6">
        <w:rPr>
          <w:color w:val="000000"/>
          <w:sz w:val="24"/>
          <w:szCs w:val="24"/>
        </w:rPr>
        <w:t>Ayurved</w:t>
      </w:r>
      <w:proofErr w:type="spellEnd"/>
      <w:r w:rsidRPr="007F43F6">
        <w:rPr>
          <w:color w:val="000000"/>
          <w:sz w:val="24"/>
          <w:szCs w:val="24"/>
        </w:rPr>
        <w:t xml:space="preserve"> college, </w:t>
      </w:r>
      <w:proofErr w:type="spellStart"/>
      <w:r w:rsidRPr="007F43F6">
        <w:rPr>
          <w:color w:val="000000"/>
          <w:sz w:val="24"/>
          <w:szCs w:val="24"/>
        </w:rPr>
        <w:t>Yavatmal</w:t>
      </w:r>
      <w:proofErr w:type="spellEnd"/>
      <w:r w:rsidRPr="007F43F6">
        <w:rPr>
          <w:color w:val="000000"/>
          <w:sz w:val="24"/>
          <w:szCs w:val="24"/>
        </w:rPr>
        <w:t>, Maharashtra.</w:t>
      </w:r>
      <w:r w:rsidR="004926F7">
        <w:rPr>
          <w:color w:val="000000"/>
          <w:sz w:val="24"/>
          <w:szCs w:val="24"/>
        </w:rPr>
        <w:t xml:space="preserve"> 445001. </w:t>
      </w:r>
      <w:r w:rsidRPr="007F43F6">
        <w:rPr>
          <w:color w:val="000000"/>
          <w:sz w:val="24"/>
          <w:szCs w:val="24"/>
        </w:rPr>
        <w:t xml:space="preserve">Email-    </w:t>
      </w:r>
      <w:hyperlink r:id="rId5" w:history="1">
        <w:r w:rsidR="00E45416" w:rsidRPr="007F43F6">
          <w:rPr>
            <w:rStyle w:val="Hyperlink"/>
            <w:sz w:val="24"/>
            <w:szCs w:val="24"/>
          </w:rPr>
          <w:t>rahulgupta20696@gmail.com</w:t>
        </w:r>
      </w:hyperlink>
      <w:r w:rsidRPr="007F43F6">
        <w:rPr>
          <w:color w:val="000000"/>
          <w:sz w:val="24"/>
          <w:szCs w:val="24"/>
        </w:rPr>
        <w:t xml:space="preserve">         </w:t>
      </w:r>
    </w:p>
    <w:p w14:paraId="1660CED6" w14:textId="5DE43C68" w:rsidR="00005D84" w:rsidRPr="007F43F6" w:rsidRDefault="00005D84" w:rsidP="00005D84">
      <w:pPr>
        <w:spacing w:line="360" w:lineRule="auto"/>
        <w:jc w:val="both"/>
        <w:rPr>
          <w:color w:val="000000"/>
          <w:sz w:val="24"/>
          <w:szCs w:val="24"/>
        </w:rPr>
      </w:pPr>
      <w:r w:rsidRPr="007F43F6">
        <w:rPr>
          <w:color w:val="000000"/>
          <w:sz w:val="24"/>
          <w:szCs w:val="24"/>
        </w:rPr>
        <w:t xml:space="preserve">2. Associate Professor and HOD, </w:t>
      </w:r>
      <w:proofErr w:type="spellStart"/>
      <w:r w:rsidRPr="007F43F6">
        <w:rPr>
          <w:color w:val="000000"/>
          <w:sz w:val="24"/>
          <w:szCs w:val="24"/>
        </w:rPr>
        <w:t>Kaumarbhritya</w:t>
      </w:r>
      <w:proofErr w:type="spellEnd"/>
      <w:r w:rsidRPr="007F43F6">
        <w:rPr>
          <w:color w:val="000000"/>
          <w:sz w:val="24"/>
          <w:szCs w:val="24"/>
        </w:rPr>
        <w:t xml:space="preserve"> Department, DMM </w:t>
      </w:r>
      <w:proofErr w:type="spellStart"/>
      <w:r w:rsidRPr="007F43F6">
        <w:rPr>
          <w:color w:val="000000"/>
          <w:sz w:val="24"/>
          <w:szCs w:val="24"/>
        </w:rPr>
        <w:t>Ayurved</w:t>
      </w:r>
      <w:proofErr w:type="spellEnd"/>
      <w:r w:rsidRPr="007F43F6">
        <w:rPr>
          <w:color w:val="000000"/>
          <w:sz w:val="24"/>
          <w:szCs w:val="24"/>
        </w:rPr>
        <w:t xml:space="preserve"> College, </w:t>
      </w:r>
      <w:proofErr w:type="spellStart"/>
      <w:r w:rsidRPr="007F43F6">
        <w:rPr>
          <w:color w:val="000000"/>
          <w:sz w:val="24"/>
          <w:szCs w:val="24"/>
        </w:rPr>
        <w:t>Yavatmal</w:t>
      </w:r>
      <w:proofErr w:type="spellEnd"/>
      <w:r w:rsidR="004926F7">
        <w:rPr>
          <w:color w:val="000000"/>
          <w:sz w:val="24"/>
          <w:szCs w:val="24"/>
        </w:rPr>
        <w:t xml:space="preserve">. Email- </w:t>
      </w:r>
      <w:hyperlink r:id="rId6" w:history="1">
        <w:r w:rsidR="004926F7" w:rsidRPr="00072E52">
          <w:rPr>
            <w:rStyle w:val="Hyperlink"/>
            <w:sz w:val="24"/>
            <w:szCs w:val="24"/>
          </w:rPr>
          <w:t>sonamkanzode@gmail.com</w:t>
        </w:r>
      </w:hyperlink>
      <w:r w:rsidR="004926F7">
        <w:rPr>
          <w:color w:val="000000"/>
          <w:sz w:val="24"/>
          <w:szCs w:val="24"/>
        </w:rPr>
        <w:t xml:space="preserve"> </w:t>
      </w:r>
    </w:p>
    <w:p w14:paraId="1AEBAA35" w14:textId="77777777" w:rsidR="00005D84" w:rsidRPr="007F43F6" w:rsidRDefault="00005D84" w:rsidP="00005D84">
      <w:pPr>
        <w:spacing w:line="360" w:lineRule="auto"/>
        <w:jc w:val="both"/>
        <w:rPr>
          <w:color w:val="000000"/>
          <w:sz w:val="24"/>
          <w:szCs w:val="24"/>
        </w:rPr>
      </w:pPr>
    </w:p>
    <w:p w14:paraId="5DED6B26" w14:textId="77777777" w:rsidR="00005D84" w:rsidRPr="007F43F6" w:rsidRDefault="00005D84" w:rsidP="00005D84">
      <w:pPr>
        <w:spacing w:line="360" w:lineRule="auto"/>
        <w:jc w:val="both"/>
        <w:rPr>
          <w:b/>
          <w:bCs/>
          <w:color w:val="000000"/>
          <w:sz w:val="24"/>
          <w:szCs w:val="24"/>
        </w:rPr>
      </w:pPr>
      <w:r w:rsidRPr="007F43F6">
        <w:rPr>
          <w:b/>
          <w:bCs/>
          <w:color w:val="000000"/>
          <w:sz w:val="24"/>
          <w:szCs w:val="24"/>
        </w:rPr>
        <w:t>Abstract</w:t>
      </w:r>
    </w:p>
    <w:p w14:paraId="78347DF9" w14:textId="77777777" w:rsidR="00005D84" w:rsidRPr="007F43F6" w:rsidRDefault="00005D84" w:rsidP="00005D84">
      <w:pPr>
        <w:spacing w:line="360" w:lineRule="auto"/>
        <w:jc w:val="both"/>
        <w:rPr>
          <w:color w:val="000000"/>
          <w:sz w:val="24"/>
          <w:szCs w:val="24"/>
        </w:rPr>
      </w:pPr>
    </w:p>
    <w:p w14:paraId="10D1AC40" w14:textId="77777777" w:rsidR="00005D84" w:rsidRPr="007F43F6" w:rsidRDefault="00005D84" w:rsidP="00005D84">
      <w:pPr>
        <w:spacing w:line="360" w:lineRule="auto"/>
        <w:jc w:val="both"/>
        <w:rPr>
          <w:color w:val="000000"/>
          <w:sz w:val="24"/>
          <w:szCs w:val="24"/>
        </w:rPr>
      </w:pPr>
      <w:r w:rsidRPr="007F43F6">
        <w:rPr>
          <w:b/>
          <w:bCs/>
          <w:color w:val="000000"/>
          <w:sz w:val="24"/>
          <w:szCs w:val="24"/>
        </w:rPr>
        <w:t xml:space="preserve">Background: </w:t>
      </w:r>
      <w:proofErr w:type="spellStart"/>
      <w:r w:rsidRPr="007F43F6">
        <w:rPr>
          <w:color w:val="000000"/>
          <w:sz w:val="24"/>
          <w:szCs w:val="24"/>
        </w:rPr>
        <w:t>Vatarakta</w:t>
      </w:r>
      <w:proofErr w:type="spellEnd"/>
      <w:r w:rsidRPr="007F43F6">
        <w:rPr>
          <w:color w:val="000000"/>
          <w:sz w:val="24"/>
          <w:szCs w:val="24"/>
        </w:rPr>
        <w:t xml:space="preserve"> , also known as </w:t>
      </w:r>
      <w:proofErr w:type="spellStart"/>
      <w:r w:rsidRPr="007F43F6">
        <w:rPr>
          <w:color w:val="000000"/>
          <w:sz w:val="24"/>
          <w:szCs w:val="24"/>
        </w:rPr>
        <w:t>Vatashonita</w:t>
      </w:r>
      <w:proofErr w:type="spellEnd"/>
      <w:r w:rsidRPr="007F43F6">
        <w:rPr>
          <w:color w:val="000000"/>
          <w:sz w:val="24"/>
          <w:szCs w:val="24"/>
        </w:rPr>
        <w:t xml:space="preserve">, is described in Ayurveda as a disease arising from the pathological interaction of Vata and Rakta. Because classical descriptions include painful inflammatory manifestations of the extremities and joints, contemporary Ayurvedic literature frequently correlates </w:t>
      </w:r>
      <w:proofErr w:type="spellStart"/>
      <w:r w:rsidRPr="007F43F6">
        <w:rPr>
          <w:color w:val="000000"/>
          <w:sz w:val="24"/>
          <w:szCs w:val="24"/>
        </w:rPr>
        <w:t>Vatarakta</w:t>
      </w:r>
      <w:proofErr w:type="spellEnd"/>
      <w:r w:rsidRPr="007F43F6">
        <w:rPr>
          <w:color w:val="000000"/>
          <w:sz w:val="24"/>
          <w:szCs w:val="24"/>
        </w:rPr>
        <w:t xml:space="preserve"> with gout. Modern gout, however, is a crystal-deposition disease involving monosodium urate (MSU) crystals. Clinical resemblance between the two conditions does not necessarily establish diagnostic or pathophysiological equivalence.</w:t>
      </w:r>
    </w:p>
    <w:p w14:paraId="56C9D137" w14:textId="77777777" w:rsidR="00005D84" w:rsidRPr="007F43F6" w:rsidRDefault="00005D84" w:rsidP="00005D84">
      <w:pPr>
        <w:spacing w:line="360" w:lineRule="auto"/>
        <w:jc w:val="both"/>
        <w:rPr>
          <w:color w:val="000000"/>
          <w:sz w:val="24"/>
          <w:szCs w:val="24"/>
        </w:rPr>
      </w:pPr>
      <w:r w:rsidRPr="007F43F6">
        <w:rPr>
          <w:b/>
          <w:bCs/>
          <w:color w:val="000000"/>
          <w:sz w:val="24"/>
          <w:szCs w:val="24"/>
        </w:rPr>
        <w:t xml:space="preserve">Objective: </w:t>
      </w:r>
      <w:r w:rsidRPr="007F43F6">
        <w:rPr>
          <w:color w:val="000000"/>
          <w:sz w:val="24"/>
          <w:szCs w:val="24"/>
        </w:rPr>
        <w:t xml:space="preserve">This review critically examines the relationship between </w:t>
      </w:r>
      <w:proofErr w:type="spellStart"/>
      <w:r w:rsidRPr="007F43F6">
        <w:rPr>
          <w:color w:val="000000"/>
          <w:sz w:val="24"/>
          <w:szCs w:val="24"/>
        </w:rPr>
        <w:t>Vatarakta</w:t>
      </w:r>
      <w:proofErr w:type="spellEnd"/>
      <w:r w:rsidRPr="007F43F6">
        <w:rPr>
          <w:color w:val="000000"/>
          <w:sz w:val="24"/>
          <w:szCs w:val="24"/>
        </w:rPr>
        <w:t xml:space="preserve"> and gout, identifies areas of meaningful overlap, clarifies the limitations of assuming equivalence, and proposes a multidomain framework for future validation research.</w:t>
      </w:r>
    </w:p>
    <w:p w14:paraId="176C0D24" w14:textId="77777777" w:rsidR="00005D84" w:rsidRPr="007F43F6" w:rsidRDefault="00005D84" w:rsidP="00005D84">
      <w:pPr>
        <w:spacing w:line="360" w:lineRule="auto"/>
        <w:jc w:val="both"/>
        <w:rPr>
          <w:color w:val="000000"/>
          <w:sz w:val="24"/>
          <w:szCs w:val="24"/>
        </w:rPr>
      </w:pPr>
      <w:r w:rsidRPr="007F43F6">
        <w:rPr>
          <w:b/>
          <w:bCs/>
          <w:color w:val="000000"/>
          <w:sz w:val="24"/>
          <w:szCs w:val="24"/>
        </w:rPr>
        <w:t>Materials and Methods:</w:t>
      </w:r>
      <w:r w:rsidRPr="007F43F6">
        <w:rPr>
          <w:color w:val="000000"/>
          <w:sz w:val="24"/>
          <w:szCs w:val="24"/>
        </w:rPr>
        <w:t xml:space="preserve"> A critical narrative review was conducted using classical Ayurvedic sources and contemporary literature on </w:t>
      </w:r>
      <w:proofErr w:type="spellStart"/>
      <w:r w:rsidRPr="007F43F6">
        <w:rPr>
          <w:color w:val="000000"/>
          <w:sz w:val="24"/>
          <w:szCs w:val="24"/>
        </w:rPr>
        <w:t>Vatarakta</w:t>
      </w:r>
      <w:proofErr w:type="spellEnd"/>
      <w:r w:rsidRPr="007F43F6">
        <w:rPr>
          <w:color w:val="000000"/>
          <w:sz w:val="24"/>
          <w:szCs w:val="24"/>
        </w:rPr>
        <w:t>, gout, hyperuricemia, MSU crystal deposition, and crystal-induced arthropathies. Evidence was considered across Ayurvedic, clinical, biochemical, crystal-identification, and imaging domains, with particular attention to contemporary gout classification criteria and diagnostic recommendations. As this was a narrative review, formal meta-analysis and risk-of-bias assessment were not undertaken.</w:t>
      </w:r>
    </w:p>
    <w:p w14:paraId="2740CF9C" w14:textId="77777777" w:rsidR="00005D84" w:rsidRPr="007F43F6" w:rsidRDefault="00005D84" w:rsidP="00005D84">
      <w:pPr>
        <w:spacing w:line="360" w:lineRule="auto"/>
        <w:jc w:val="both"/>
        <w:rPr>
          <w:color w:val="000000"/>
          <w:sz w:val="24"/>
          <w:szCs w:val="24"/>
        </w:rPr>
      </w:pPr>
      <w:r w:rsidRPr="007F43F6">
        <w:rPr>
          <w:b/>
          <w:bCs/>
          <w:color w:val="000000"/>
          <w:sz w:val="24"/>
          <w:szCs w:val="24"/>
        </w:rPr>
        <w:t xml:space="preserve">Results: </w:t>
      </w:r>
      <w:r w:rsidRPr="007F43F6">
        <w:rPr>
          <w:color w:val="000000"/>
          <w:sz w:val="24"/>
          <w:szCs w:val="24"/>
        </w:rPr>
        <w:t xml:space="preserve">The reviewed literature indicates substantial phenotypic overlap between </w:t>
      </w:r>
      <w:proofErr w:type="spellStart"/>
      <w:r w:rsidRPr="007F43F6">
        <w:rPr>
          <w:color w:val="000000"/>
          <w:sz w:val="24"/>
          <w:szCs w:val="24"/>
        </w:rPr>
        <w:t>Vatarakta</w:t>
      </w:r>
      <w:proofErr w:type="spellEnd"/>
      <w:r w:rsidRPr="007F43F6">
        <w:rPr>
          <w:color w:val="000000"/>
          <w:sz w:val="24"/>
          <w:szCs w:val="24"/>
        </w:rPr>
        <w:t xml:space="preserve"> and gout, particularly in painful inflammatory manifestations of peripheral joints. However, hyperuricemia and non-specific joint inflammation are insufficient to establish gout. Identification of MSU crystals provides direct evidence of urate crystal deposition and is sufficient for classification under the 2015 ACR/EULAR criteria; in the absence of crystal </w:t>
      </w:r>
      <w:r w:rsidRPr="007F43F6">
        <w:rPr>
          <w:color w:val="000000"/>
          <w:sz w:val="24"/>
          <w:szCs w:val="24"/>
        </w:rPr>
        <w:lastRenderedPageBreak/>
        <w:t xml:space="preserve">confirmation, clinical, laboratory, and imaging domains contribute to classification. Ayurvedic concepts such as Vata-Rakta interaction and </w:t>
      </w:r>
      <w:proofErr w:type="spellStart"/>
      <w:r w:rsidRPr="007F43F6">
        <w:rPr>
          <w:color w:val="000000"/>
          <w:sz w:val="24"/>
          <w:szCs w:val="24"/>
        </w:rPr>
        <w:t>Avarana</w:t>
      </w:r>
      <w:proofErr w:type="spellEnd"/>
      <w:r w:rsidRPr="007F43F6">
        <w:rPr>
          <w:color w:val="000000"/>
          <w:sz w:val="24"/>
          <w:szCs w:val="24"/>
        </w:rPr>
        <w:t xml:space="preserve"> provide a coherent theoretical explanation of </w:t>
      </w:r>
      <w:proofErr w:type="spellStart"/>
      <w:r w:rsidRPr="007F43F6">
        <w:rPr>
          <w:color w:val="000000"/>
          <w:sz w:val="24"/>
          <w:szCs w:val="24"/>
        </w:rPr>
        <w:t>Vatarakta</w:t>
      </w:r>
      <w:proofErr w:type="spellEnd"/>
      <w:r w:rsidRPr="007F43F6">
        <w:rPr>
          <w:color w:val="000000"/>
          <w:sz w:val="24"/>
          <w:szCs w:val="24"/>
        </w:rPr>
        <w:t xml:space="preserve"> within Ayurveda, but their direct correspondence with specific biomedical mechanisms has not been established.</w:t>
      </w:r>
    </w:p>
    <w:p w14:paraId="7C69499E" w14:textId="77777777" w:rsidR="00005D84" w:rsidRPr="007F43F6" w:rsidRDefault="00005D84" w:rsidP="00005D84">
      <w:pPr>
        <w:spacing w:line="360" w:lineRule="auto"/>
        <w:jc w:val="both"/>
        <w:rPr>
          <w:color w:val="000000"/>
          <w:sz w:val="24"/>
          <w:szCs w:val="24"/>
        </w:rPr>
      </w:pPr>
      <w:r w:rsidRPr="007F43F6">
        <w:rPr>
          <w:b/>
          <w:bCs/>
          <w:color w:val="000000"/>
          <w:sz w:val="24"/>
          <w:szCs w:val="24"/>
        </w:rPr>
        <w:t xml:space="preserve">Conclusion: </w:t>
      </w:r>
      <w:r w:rsidRPr="007F43F6">
        <w:rPr>
          <w:color w:val="000000"/>
          <w:sz w:val="24"/>
          <w:szCs w:val="24"/>
        </w:rPr>
        <w:t xml:space="preserve">Current evidence does not support treating </w:t>
      </w:r>
      <w:proofErr w:type="spellStart"/>
      <w:r w:rsidRPr="007F43F6">
        <w:rPr>
          <w:color w:val="000000"/>
          <w:sz w:val="24"/>
          <w:szCs w:val="24"/>
        </w:rPr>
        <w:t>Vatarakta</w:t>
      </w:r>
      <w:proofErr w:type="spellEnd"/>
      <w:r w:rsidRPr="007F43F6">
        <w:rPr>
          <w:color w:val="000000"/>
          <w:sz w:val="24"/>
          <w:szCs w:val="24"/>
        </w:rPr>
        <w:t xml:space="preserve"> and gout as universally synonymous. Gout is an important potential modern correlate of </w:t>
      </w:r>
      <w:proofErr w:type="spellStart"/>
      <w:r w:rsidRPr="007F43F6">
        <w:rPr>
          <w:color w:val="000000"/>
          <w:sz w:val="24"/>
          <w:szCs w:val="24"/>
        </w:rPr>
        <w:t>Vatarakta</w:t>
      </w:r>
      <w:proofErr w:type="spellEnd"/>
      <w:r w:rsidRPr="007F43F6">
        <w:rPr>
          <w:color w:val="000000"/>
          <w:sz w:val="24"/>
          <w:szCs w:val="24"/>
        </w:rPr>
        <w:t xml:space="preserve">, but some presentations may clinically overlap with other arthropathies. A multidomain framework is proposed in which Ayurvedic phenotyping and modern rheumatological assessment are performed independently. Future prospective studies should use standardized Ayurvedic assessment, MSU crystal identification where clinically appropriate, and validated imaging methods to determine which </w:t>
      </w:r>
      <w:proofErr w:type="spellStart"/>
      <w:r w:rsidRPr="007F43F6">
        <w:rPr>
          <w:color w:val="000000"/>
          <w:sz w:val="24"/>
          <w:szCs w:val="24"/>
        </w:rPr>
        <w:t>Vatarakta</w:t>
      </w:r>
      <w:proofErr w:type="spellEnd"/>
      <w:r w:rsidRPr="007F43F6">
        <w:rPr>
          <w:color w:val="000000"/>
          <w:sz w:val="24"/>
          <w:szCs w:val="24"/>
        </w:rPr>
        <w:t xml:space="preserve"> phenotypes correspond to objectively established gout.</w:t>
      </w:r>
    </w:p>
    <w:p w14:paraId="48721E2D" w14:textId="12ABC2EC" w:rsidR="00005D84" w:rsidRDefault="00005D84" w:rsidP="00005D84">
      <w:pPr>
        <w:spacing w:line="360" w:lineRule="auto"/>
        <w:jc w:val="both"/>
        <w:rPr>
          <w:color w:val="000000"/>
          <w:sz w:val="24"/>
          <w:szCs w:val="24"/>
        </w:rPr>
      </w:pPr>
      <w:r w:rsidRPr="007F43F6">
        <w:rPr>
          <w:b/>
          <w:bCs/>
          <w:color w:val="000000"/>
          <w:sz w:val="24"/>
          <w:szCs w:val="24"/>
        </w:rPr>
        <w:t xml:space="preserve">Keywords: </w:t>
      </w:r>
      <w:proofErr w:type="spellStart"/>
      <w:r w:rsidRPr="007F43F6">
        <w:rPr>
          <w:color w:val="000000"/>
          <w:sz w:val="24"/>
          <w:szCs w:val="24"/>
        </w:rPr>
        <w:t>Avarana</w:t>
      </w:r>
      <w:proofErr w:type="spellEnd"/>
      <w:r w:rsidRPr="007F43F6">
        <w:rPr>
          <w:color w:val="000000"/>
          <w:sz w:val="24"/>
          <w:szCs w:val="24"/>
        </w:rPr>
        <w:t xml:space="preserve">, Ayurveda, crystal arthritis, gout, hyperuricemia, monosodium urate, </w:t>
      </w:r>
      <w:proofErr w:type="spellStart"/>
      <w:r w:rsidRPr="007F43F6">
        <w:rPr>
          <w:color w:val="000000"/>
          <w:sz w:val="24"/>
          <w:szCs w:val="24"/>
        </w:rPr>
        <w:t>Vatarakta</w:t>
      </w:r>
      <w:proofErr w:type="spellEnd"/>
      <w:r w:rsidRPr="007F43F6">
        <w:rPr>
          <w:color w:val="000000"/>
          <w:sz w:val="24"/>
          <w:szCs w:val="24"/>
        </w:rPr>
        <w:t>,.</w:t>
      </w:r>
    </w:p>
    <w:p w14:paraId="533D6741" w14:textId="77777777" w:rsidR="007D6FDF" w:rsidRPr="007F43F6" w:rsidRDefault="007D6FDF" w:rsidP="00005D84">
      <w:pPr>
        <w:spacing w:line="360" w:lineRule="auto"/>
        <w:jc w:val="both"/>
        <w:rPr>
          <w:color w:val="000000"/>
          <w:sz w:val="24"/>
          <w:szCs w:val="24"/>
        </w:rPr>
      </w:pPr>
    </w:p>
    <w:p w14:paraId="5CFC85FA" w14:textId="77777777" w:rsidR="00005D84" w:rsidRPr="007F43F6" w:rsidRDefault="00005D84" w:rsidP="00005D84">
      <w:pPr>
        <w:spacing w:line="360" w:lineRule="auto"/>
        <w:jc w:val="both"/>
        <w:rPr>
          <w:b/>
          <w:bCs/>
          <w:color w:val="000000"/>
          <w:sz w:val="24"/>
          <w:szCs w:val="24"/>
        </w:rPr>
      </w:pPr>
      <w:r w:rsidRPr="007F43F6">
        <w:rPr>
          <w:color w:val="000000"/>
          <w:sz w:val="24"/>
          <w:szCs w:val="24"/>
        </w:rPr>
        <w:t xml:space="preserve"> </w:t>
      </w:r>
      <w:r w:rsidRPr="007F43F6">
        <w:rPr>
          <w:b/>
          <w:bCs/>
          <w:color w:val="000000"/>
          <w:sz w:val="24"/>
          <w:szCs w:val="24"/>
        </w:rPr>
        <w:t>Introduction</w:t>
      </w:r>
    </w:p>
    <w:p w14:paraId="5EACBBA8" w14:textId="77777777" w:rsidR="00005D84" w:rsidRPr="007F43F6" w:rsidRDefault="00005D84" w:rsidP="00005D84">
      <w:pPr>
        <w:spacing w:line="360" w:lineRule="auto"/>
        <w:jc w:val="both"/>
        <w:rPr>
          <w:color w:val="000000"/>
          <w:sz w:val="24"/>
          <w:szCs w:val="24"/>
        </w:rPr>
      </w:pPr>
      <w:proofErr w:type="spellStart"/>
      <w:r w:rsidRPr="007F43F6">
        <w:rPr>
          <w:color w:val="000000"/>
          <w:sz w:val="24"/>
          <w:szCs w:val="24"/>
        </w:rPr>
        <w:t>Vatarakta</w:t>
      </w:r>
      <w:proofErr w:type="spellEnd"/>
      <w:r w:rsidRPr="007F43F6">
        <w:rPr>
          <w:color w:val="000000"/>
          <w:sz w:val="24"/>
          <w:szCs w:val="24"/>
        </w:rPr>
        <w:t xml:space="preserve"> is described in Ayurveda as a disease resulting from the pathological interaction of Vata and Rakta. Classical texts discuss its causative factors (Hetu/Nidana), pathogenesis (</w:t>
      </w:r>
      <w:proofErr w:type="spellStart"/>
      <w:r w:rsidRPr="007F43F6">
        <w:rPr>
          <w:color w:val="000000"/>
          <w:sz w:val="24"/>
          <w:szCs w:val="24"/>
        </w:rPr>
        <w:t>Samprapti</w:t>
      </w:r>
      <w:proofErr w:type="spellEnd"/>
      <w:r w:rsidRPr="007F43F6">
        <w:rPr>
          <w:color w:val="000000"/>
          <w:sz w:val="24"/>
          <w:szCs w:val="24"/>
        </w:rPr>
        <w:t>), premonitory features (</w:t>
      </w:r>
      <w:proofErr w:type="spellStart"/>
      <w:r w:rsidRPr="007F43F6">
        <w:rPr>
          <w:color w:val="000000"/>
          <w:sz w:val="24"/>
          <w:szCs w:val="24"/>
        </w:rPr>
        <w:t>Purvarupa</w:t>
      </w:r>
      <w:proofErr w:type="spellEnd"/>
      <w:r w:rsidRPr="007F43F6">
        <w:rPr>
          <w:color w:val="000000"/>
          <w:sz w:val="24"/>
          <w:szCs w:val="24"/>
        </w:rPr>
        <w:t xml:space="preserve">), clinical manifestations, types, progression, and treatment principles. In contemporary Ayurvedic literature, </w:t>
      </w:r>
      <w:proofErr w:type="spellStart"/>
      <w:r w:rsidRPr="007F43F6">
        <w:rPr>
          <w:color w:val="000000"/>
          <w:sz w:val="24"/>
          <w:szCs w:val="24"/>
        </w:rPr>
        <w:t>Vatarakta</w:t>
      </w:r>
      <w:proofErr w:type="spellEnd"/>
      <w:r w:rsidRPr="007F43F6">
        <w:rPr>
          <w:color w:val="000000"/>
          <w:sz w:val="24"/>
          <w:szCs w:val="24"/>
        </w:rPr>
        <w:t xml:space="preserve"> is commonly correlated with gout because both conditions may present with painful inflammatory involvement of peripheral joints and extremities [1-3].</w:t>
      </w:r>
    </w:p>
    <w:p w14:paraId="23A81531"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relationship between </w:t>
      </w:r>
      <w:proofErr w:type="spellStart"/>
      <w:r w:rsidRPr="007F43F6">
        <w:rPr>
          <w:color w:val="000000"/>
          <w:sz w:val="24"/>
          <w:szCs w:val="24"/>
        </w:rPr>
        <w:t>Vatarakta</w:t>
      </w:r>
      <w:proofErr w:type="spellEnd"/>
      <w:r w:rsidRPr="007F43F6">
        <w:rPr>
          <w:color w:val="000000"/>
          <w:sz w:val="24"/>
          <w:szCs w:val="24"/>
        </w:rPr>
        <w:t xml:space="preserve"> and gout has therefore already been discussed in recent Ayurvedic publications. The important scientific question is not simply whether the two conditions resemble each other clinically, but whether that resemblance is sufficient to justify diagnostic equivalence.</w:t>
      </w:r>
    </w:p>
    <w:p w14:paraId="0241C7A1" w14:textId="77777777" w:rsidR="00005D84" w:rsidRPr="007F43F6" w:rsidRDefault="00005D84" w:rsidP="00005D84">
      <w:pPr>
        <w:spacing w:line="360" w:lineRule="auto"/>
        <w:jc w:val="both"/>
        <w:rPr>
          <w:color w:val="000000"/>
          <w:sz w:val="24"/>
          <w:szCs w:val="24"/>
        </w:rPr>
      </w:pPr>
      <w:r w:rsidRPr="007F43F6">
        <w:rPr>
          <w:color w:val="000000"/>
          <w:sz w:val="24"/>
          <w:szCs w:val="24"/>
        </w:rPr>
        <w:t>Modern gout is a crystal-deposition disease involving the formation and deposition of monosodium urate crystals in articular and periarticular tissues. The 2015 American College of Rheumatology/European League Against Rheumatism classification criteria identify the presence of MSU crystals in synovial fluid from a symptomatic joint or bursa, or in a tophus, as sufficient for classification as gout [4]. In the absence of crystal confirmation, clinical, laboratory, and imaging domains contribute to classification [4]. EULAR diagnostic recommendations further emphasize the importance of crystal identification in suspected gout and caution that hyperuricemia alone is insufficient for diagnosis [5].</w:t>
      </w:r>
    </w:p>
    <w:p w14:paraId="30942243" w14:textId="77777777" w:rsidR="00005D84" w:rsidRPr="007F43F6" w:rsidRDefault="00005D84" w:rsidP="00005D84">
      <w:pPr>
        <w:spacing w:line="360" w:lineRule="auto"/>
        <w:jc w:val="both"/>
        <w:rPr>
          <w:color w:val="000000"/>
          <w:sz w:val="24"/>
          <w:szCs w:val="24"/>
        </w:rPr>
      </w:pPr>
      <w:r w:rsidRPr="007F43F6">
        <w:rPr>
          <w:color w:val="000000"/>
          <w:sz w:val="24"/>
          <w:szCs w:val="24"/>
        </w:rPr>
        <w:lastRenderedPageBreak/>
        <w:t>This distinction is important for integrative medical research. Joint pain, swelling, erythema, warmth, and recurrent inflammatory episodes are clinically significant but not specific to gout. Similar features can occur in other crystal-induced, inflammatory, infectious, and degenerative joint disorders. Therefore, clinical resemblance should not automatically be interpreted as pathological equivalence.</w:t>
      </w:r>
    </w:p>
    <w:p w14:paraId="3DF335B7"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This review critically examines the </w:t>
      </w:r>
      <w:proofErr w:type="spellStart"/>
      <w:r w:rsidRPr="007F43F6">
        <w:rPr>
          <w:color w:val="000000"/>
          <w:sz w:val="24"/>
          <w:szCs w:val="24"/>
        </w:rPr>
        <w:t>Vatarakta</w:t>
      </w:r>
      <w:proofErr w:type="spellEnd"/>
      <w:r w:rsidRPr="007F43F6">
        <w:rPr>
          <w:color w:val="000000"/>
          <w:sz w:val="24"/>
          <w:szCs w:val="24"/>
        </w:rPr>
        <w:t>-gout relationship across Ayurvedic, clinical, biochemical, crystal-identification, and imaging domains and proposes a multidomain framework for future research.</w:t>
      </w:r>
    </w:p>
    <w:p w14:paraId="36608200" w14:textId="77777777" w:rsidR="00005D84" w:rsidRPr="007F43F6" w:rsidRDefault="00005D84" w:rsidP="00005D84">
      <w:pPr>
        <w:spacing w:line="360" w:lineRule="auto"/>
        <w:jc w:val="both"/>
        <w:rPr>
          <w:b/>
          <w:bCs/>
          <w:color w:val="000000"/>
          <w:sz w:val="24"/>
          <w:szCs w:val="24"/>
        </w:rPr>
      </w:pPr>
      <w:r w:rsidRPr="007F43F6">
        <w:rPr>
          <w:b/>
          <w:bCs/>
          <w:color w:val="000000"/>
          <w:sz w:val="24"/>
          <w:szCs w:val="24"/>
        </w:rPr>
        <w:t>Rationale and Research Gap</w:t>
      </w:r>
    </w:p>
    <w:p w14:paraId="2F680FA5"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Recent Ayurvedic literature has largely emphasized the clinical similarities between </w:t>
      </w:r>
      <w:proofErr w:type="spellStart"/>
      <w:r w:rsidRPr="007F43F6">
        <w:rPr>
          <w:color w:val="000000"/>
          <w:sz w:val="24"/>
          <w:szCs w:val="24"/>
        </w:rPr>
        <w:t>Vatarakta</w:t>
      </w:r>
      <w:proofErr w:type="spellEnd"/>
      <w:r w:rsidRPr="007F43F6">
        <w:rPr>
          <w:color w:val="000000"/>
          <w:sz w:val="24"/>
          <w:szCs w:val="24"/>
        </w:rPr>
        <w:t xml:space="preserve"> and gout ,While this comparison is reasonable, the limits of the correlation require careful evaluation. First, symptoms such as joint pain, swelling, redness, and burning or warmth are not disease-specific. They support clinical comparison but cannot independently establish a diagnosis of gout.</w:t>
      </w:r>
    </w:p>
    <w:p w14:paraId="462CF805"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Second, hyperuricemia and gout are closely related but are not identical. Urate supersaturation promotes MSU crystal formation and deposition, but elevated serum urate alone does not prove clinical gout [6-8]. Third, Ayurvedic concepts such as Vata, Rakta, and </w:t>
      </w:r>
      <w:proofErr w:type="spellStart"/>
      <w:r w:rsidRPr="007F43F6">
        <w:rPr>
          <w:color w:val="000000"/>
          <w:sz w:val="24"/>
          <w:szCs w:val="24"/>
        </w:rPr>
        <w:t>Avarana</w:t>
      </w:r>
      <w:proofErr w:type="spellEnd"/>
      <w:r w:rsidRPr="007F43F6">
        <w:rPr>
          <w:color w:val="000000"/>
          <w:sz w:val="24"/>
          <w:szCs w:val="24"/>
        </w:rPr>
        <w:t xml:space="preserve"> belong to the Ayurvedic theoretical framework. Directly equating them with specific biomedical mechanisms without empirical evidence risks overinterpretation.</w:t>
      </w:r>
    </w:p>
    <w:p w14:paraId="4633B1CE" w14:textId="77777777" w:rsidR="00005D84" w:rsidRPr="007F43F6" w:rsidRDefault="00005D84" w:rsidP="00005D84">
      <w:pPr>
        <w:spacing w:line="360" w:lineRule="auto"/>
        <w:jc w:val="both"/>
        <w:rPr>
          <w:color w:val="000000"/>
          <w:sz w:val="24"/>
          <w:szCs w:val="24"/>
        </w:rPr>
      </w:pPr>
      <w:r w:rsidRPr="007F43F6">
        <w:rPr>
          <w:color w:val="000000"/>
          <w:sz w:val="24"/>
          <w:szCs w:val="24"/>
        </w:rPr>
        <w:t>A more rigorous approach is therefore required—one that separates Ayurvedic phenotype, clinical manifestations, biochemical findings, crystal evidence, imaging findings, and independent modern rheumatological assessment. Such an approach can help determine where the two systems truly overlap and where they remain conceptually distinct.</w:t>
      </w:r>
    </w:p>
    <w:p w14:paraId="48390B72" w14:textId="77777777" w:rsidR="00005D84" w:rsidRPr="007F43F6" w:rsidRDefault="00005D84" w:rsidP="00005D84">
      <w:pPr>
        <w:spacing w:line="360" w:lineRule="auto"/>
        <w:jc w:val="both"/>
        <w:rPr>
          <w:color w:val="000000"/>
          <w:sz w:val="24"/>
          <w:szCs w:val="24"/>
        </w:rPr>
      </w:pPr>
    </w:p>
    <w:p w14:paraId="4F78E590" w14:textId="2B2E1BBA" w:rsidR="00005D84" w:rsidRPr="007B4D77" w:rsidRDefault="00005D84" w:rsidP="00005D84">
      <w:pPr>
        <w:spacing w:line="360" w:lineRule="auto"/>
        <w:jc w:val="both"/>
        <w:rPr>
          <w:b/>
          <w:bCs/>
          <w:color w:val="000000"/>
          <w:sz w:val="24"/>
          <w:szCs w:val="24"/>
        </w:rPr>
      </w:pPr>
      <w:r w:rsidRPr="007B4D77">
        <w:rPr>
          <w:b/>
          <w:bCs/>
          <w:color w:val="000000"/>
          <w:sz w:val="24"/>
          <w:szCs w:val="24"/>
        </w:rPr>
        <w:t>Aim and Objectives</w:t>
      </w:r>
    </w:p>
    <w:p w14:paraId="6C0B9449" w14:textId="77777777" w:rsidR="00005D84" w:rsidRPr="007F43F6" w:rsidRDefault="00005D84" w:rsidP="00005D84">
      <w:pPr>
        <w:spacing w:line="360" w:lineRule="auto"/>
        <w:jc w:val="both"/>
        <w:rPr>
          <w:color w:val="000000"/>
          <w:sz w:val="24"/>
          <w:szCs w:val="24"/>
        </w:rPr>
      </w:pPr>
    </w:p>
    <w:p w14:paraId="13449F98"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aim of this review is to critically examine the theoretical and clinical relationship between </w:t>
      </w:r>
      <w:proofErr w:type="spellStart"/>
      <w:r w:rsidRPr="007F43F6">
        <w:rPr>
          <w:color w:val="000000"/>
          <w:sz w:val="24"/>
          <w:szCs w:val="24"/>
        </w:rPr>
        <w:t>Vatarakta</w:t>
      </w:r>
      <w:proofErr w:type="spellEnd"/>
      <w:r w:rsidRPr="007F43F6">
        <w:rPr>
          <w:color w:val="000000"/>
          <w:sz w:val="24"/>
          <w:szCs w:val="24"/>
        </w:rPr>
        <w:t xml:space="preserve"> and gout and to define the appropriate limits of this correlation.</w:t>
      </w:r>
    </w:p>
    <w:p w14:paraId="4AAB536C" w14:textId="77777777" w:rsidR="00005D84" w:rsidRPr="007F43F6" w:rsidRDefault="00005D84" w:rsidP="00005D84">
      <w:pPr>
        <w:spacing w:line="360" w:lineRule="auto"/>
        <w:jc w:val="both"/>
        <w:rPr>
          <w:color w:val="000000"/>
          <w:sz w:val="24"/>
          <w:szCs w:val="24"/>
        </w:rPr>
      </w:pPr>
      <w:r w:rsidRPr="007F43F6">
        <w:rPr>
          <w:color w:val="000000"/>
          <w:sz w:val="24"/>
          <w:szCs w:val="24"/>
        </w:rPr>
        <w:t>The specific objectives are:</w:t>
      </w:r>
    </w:p>
    <w:p w14:paraId="29AC41D5"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1. To examine the classical Ayurvedic construct of </w:t>
      </w:r>
      <w:proofErr w:type="spellStart"/>
      <w:r w:rsidRPr="007F43F6">
        <w:rPr>
          <w:color w:val="000000"/>
          <w:sz w:val="24"/>
          <w:szCs w:val="24"/>
        </w:rPr>
        <w:t>Vatarakta</w:t>
      </w:r>
      <w:proofErr w:type="spellEnd"/>
      <w:r w:rsidRPr="007F43F6">
        <w:rPr>
          <w:color w:val="000000"/>
          <w:sz w:val="24"/>
          <w:szCs w:val="24"/>
        </w:rPr>
        <w:t>.</w:t>
      </w:r>
    </w:p>
    <w:p w14:paraId="50665BEC"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2. To compare the clinical manifestations of </w:t>
      </w:r>
      <w:proofErr w:type="spellStart"/>
      <w:r w:rsidRPr="007F43F6">
        <w:rPr>
          <w:color w:val="000000"/>
          <w:sz w:val="24"/>
          <w:szCs w:val="24"/>
        </w:rPr>
        <w:t>Vatarakta</w:t>
      </w:r>
      <w:proofErr w:type="spellEnd"/>
      <w:r w:rsidRPr="007F43F6">
        <w:rPr>
          <w:color w:val="000000"/>
          <w:sz w:val="24"/>
          <w:szCs w:val="24"/>
        </w:rPr>
        <w:t xml:space="preserve"> with modern gout.</w:t>
      </w:r>
    </w:p>
    <w:p w14:paraId="01E15AE2" w14:textId="77777777" w:rsidR="00005D84" w:rsidRPr="007F43F6" w:rsidRDefault="00005D84" w:rsidP="00005D84">
      <w:pPr>
        <w:spacing w:line="360" w:lineRule="auto"/>
        <w:jc w:val="both"/>
        <w:rPr>
          <w:color w:val="000000"/>
          <w:sz w:val="24"/>
          <w:szCs w:val="24"/>
        </w:rPr>
      </w:pPr>
      <w:r w:rsidRPr="007F43F6">
        <w:rPr>
          <w:color w:val="000000"/>
          <w:sz w:val="24"/>
          <w:szCs w:val="24"/>
        </w:rPr>
        <w:t>3. To distinguish hyperuricemia from objectively established gout.</w:t>
      </w:r>
    </w:p>
    <w:p w14:paraId="3D684407"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4. To assess the relevance of MSU crystal identification and imaging in </w:t>
      </w:r>
      <w:proofErr w:type="spellStart"/>
      <w:r w:rsidRPr="007F43F6">
        <w:rPr>
          <w:color w:val="000000"/>
          <w:sz w:val="24"/>
          <w:szCs w:val="24"/>
        </w:rPr>
        <w:t>Vatarakta</w:t>
      </w:r>
      <w:proofErr w:type="spellEnd"/>
      <w:r w:rsidRPr="007F43F6">
        <w:rPr>
          <w:color w:val="000000"/>
          <w:sz w:val="24"/>
          <w:szCs w:val="24"/>
        </w:rPr>
        <w:t>-gout correlation.</w:t>
      </w:r>
    </w:p>
    <w:p w14:paraId="640695A9" w14:textId="77777777" w:rsidR="00005D84" w:rsidRPr="007F43F6" w:rsidRDefault="00005D84" w:rsidP="00005D84">
      <w:pPr>
        <w:spacing w:line="360" w:lineRule="auto"/>
        <w:jc w:val="both"/>
        <w:rPr>
          <w:color w:val="000000"/>
          <w:sz w:val="24"/>
          <w:szCs w:val="24"/>
        </w:rPr>
      </w:pPr>
      <w:r w:rsidRPr="007F43F6">
        <w:rPr>
          <w:color w:val="000000"/>
          <w:sz w:val="24"/>
          <w:szCs w:val="24"/>
        </w:rPr>
        <w:lastRenderedPageBreak/>
        <w:t xml:space="preserve">5. To examine the limitations of assigning direct biomedical equivalents to Ayurvedic concepts such as </w:t>
      </w:r>
      <w:proofErr w:type="spellStart"/>
      <w:r w:rsidRPr="007F43F6">
        <w:rPr>
          <w:color w:val="000000"/>
          <w:sz w:val="24"/>
          <w:szCs w:val="24"/>
        </w:rPr>
        <w:t>Avarana</w:t>
      </w:r>
      <w:proofErr w:type="spellEnd"/>
      <w:r w:rsidRPr="007F43F6">
        <w:rPr>
          <w:color w:val="000000"/>
          <w:sz w:val="24"/>
          <w:szCs w:val="24"/>
        </w:rPr>
        <w:t>.</w:t>
      </w:r>
    </w:p>
    <w:p w14:paraId="6BA8726C" w14:textId="77777777" w:rsidR="00005D84" w:rsidRDefault="00005D84" w:rsidP="00005D84">
      <w:pPr>
        <w:spacing w:line="360" w:lineRule="auto"/>
        <w:jc w:val="both"/>
        <w:rPr>
          <w:color w:val="000000"/>
          <w:sz w:val="24"/>
          <w:szCs w:val="24"/>
        </w:rPr>
      </w:pPr>
      <w:r w:rsidRPr="007F43F6">
        <w:rPr>
          <w:color w:val="000000"/>
          <w:sz w:val="24"/>
          <w:szCs w:val="24"/>
        </w:rPr>
        <w:t>6. To propose a multidomain correlation framework for future validation studies.</w:t>
      </w:r>
    </w:p>
    <w:p w14:paraId="56BBA547" w14:textId="77777777" w:rsidR="007D6FDF" w:rsidRPr="007F43F6" w:rsidRDefault="007D6FDF" w:rsidP="00005D84">
      <w:pPr>
        <w:spacing w:line="360" w:lineRule="auto"/>
        <w:jc w:val="both"/>
        <w:rPr>
          <w:color w:val="000000"/>
          <w:sz w:val="24"/>
          <w:szCs w:val="24"/>
        </w:rPr>
      </w:pPr>
    </w:p>
    <w:p w14:paraId="383A8701" w14:textId="77777777" w:rsidR="00005D84" w:rsidRPr="007B4D77" w:rsidRDefault="00005D84" w:rsidP="00005D84">
      <w:pPr>
        <w:spacing w:line="360" w:lineRule="auto"/>
        <w:jc w:val="both"/>
        <w:rPr>
          <w:b/>
          <w:bCs/>
          <w:color w:val="000000"/>
          <w:sz w:val="24"/>
          <w:szCs w:val="24"/>
        </w:rPr>
      </w:pPr>
      <w:r w:rsidRPr="007B4D77">
        <w:rPr>
          <w:b/>
          <w:bCs/>
          <w:color w:val="000000"/>
          <w:sz w:val="24"/>
          <w:szCs w:val="24"/>
        </w:rPr>
        <w:t>Materials and Methods</w:t>
      </w:r>
    </w:p>
    <w:p w14:paraId="385A0F40" w14:textId="56A839C7" w:rsidR="00005D84" w:rsidRPr="007B4D77" w:rsidRDefault="00005D84" w:rsidP="00005D84">
      <w:pPr>
        <w:spacing w:line="360" w:lineRule="auto"/>
        <w:jc w:val="both"/>
        <w:rPr>
          <w:b/>
          <w:bCs/>
          <w:color w:val="000000"/>
          <w:sz w:val="24"/>
          <w:szCs w:val="24"/>
        </w:rPr>
      </w:pPr>
      <w:r w:rsidRPr="007B4D77">
        <w:rPr>
          <w:b/>
          <w:bCs/>
          <w:color w:val="000000"/>
          <w:sz w:val="24"/>
          <w:szCs w:val="24"/>
        </w:rPr>
        <w:t xml:space="preserve"> Study Design</w:t>
      </w:r>
    </w:p>
    <w:p w14:paraId="7207D493" w14:textId="77777777" w:rsidR="00005D84" w:rsidRPr="007F43F6" w:rsidRDefault="00005D84" w:rsidP="00005D84">
      <w:pPr>
        <w:spacing w:line="360" w:lineRule="auto"/>
        <w:jc w:val="both"/>
        <w:rPr>
          <w:color w:val="000000"/>
          <w:sz w:val="24"/>
          <w:szCs w:val="24"/>
        </w:rPr>
      </w:pPr>
      <w:r w:rsidRPr="007F43F6">
        <w:rPr>
          <w:color w:val="000000"/>
          <w:sz w:val="24"/>
          <w:szCs w:val="24"/>
        </w:rPr>
        <w:t>This study was designed as a critical narrative review. Classical Ayurvedic sources and contemporary biomedical and Ayurvedic literature were reviewed. No primary patient data were collected, and no intervention was performed.</w:t>
      </w:r>
    </w:p>
    <w:p w14:paraId="317312CD" w14:textId="1F368EFE" w:rsidR="00005D84" w:rsidRPr="007B4D77" w:rsidRDefault="00005D84" w:rsidP="00005D84">
      <w:pPr>
        <w:spacing w:line="360" w:lineRule="auto"/>
        <w:jc w:val="both"/>
        <w:rPr>
          <w:b/>
          <w:bCs/>
          <w:color w:val="000000"/>
          <w:sz w:val="24"/>
          <w:szCs w:val="24"/>
        </w:rPr>
      </w:pPr>
      <w:r w:rsidRPr="007B4D77">
        <w:rPr>
          <w:b/>
          <w:bCs/>
          <w:color w:val="000000"/>
          <w:sz w:val="24"/>
          <w:szCs w:val="24"/>
        </w:rPr>
        <w:t xml:space="preserve"> Literature Identification</w:t>
      </w:r>
    </w:p>
    <w:p w14:paraId="26A4FEA4"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Classical Ayurvedic sources related to </w:t>
      </w:r>
      <w:proofErr w:type="spellStart"/>
      <w:r w:rsidRPr="007F43F6">
        <w:rPr>
          <w:color w:val="000000"/>
          <w:sz w:val="24"/>
          <w:szCs w:val="24"/>
        </w:rPr>
        <w:t>Vatarakta</w:t>
      </w:r>
      <w:proofErr w:type="spellEnd"/>
      <w:r w:rsidRPr="007F43F6">
        <w:rPr>
          <w:color w:val="000000"/>
          <w:sz w:val="24"/>
          <w:szCs w:val="24"/>
        </w:rPr>
        <w:t xml:space="preserve"> were examined, particularly the Charaka Samhita and Sushruta Samhita [9,10]. Contemporary Ayurvedic and biomedical publications concerning </w:t>
      </w:r>
      <w:proofErr w:type="spellStart"/>
      <w:r w:rsidRPr="007F43F6">
        <w:rPr>
          <w:color w:val="000000"/>
          <w:sz w:val="24"/>
          <w:szCs w:val="24"/>
        </w:rPr>
        <w:t>Vatarakta</w:t>
      </w:r>
      <w:proofErr w:type="spellEnd"/>
      <w:r w:rsidRPr="007F43F6">
        <w:rPr>
          <w:color w:val="000000"/>
          <w:sz w:val="24"/>
          <w:szCs w:val="24"/>
        </w:rPr>
        <w:t>, gout, hyperuricemia, MSU crystal deposition, crystal-induced arthritis, and relevant diagnostic or imaging methods were also reviewed.</w:t>
      </w:r>
    </w:p>
    <w:p w14:paraId="22C9ADF3"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Electronic literature searching included PubMed/MEDLINE, Google Scholar, and Scopus, covering literature available up to August 2026. Search terms included combinations of </w:t>
      </w:r>
      <w:proofErr w:type="spellStart"/>
      <w:r w:rsidRPr="007F43F6">
        <w:rPr>
          <w:color w:val="000000"/>
          <w:sz w:val="24"/>
          <w:szCs w:val="24"/>
        </w:rPr>
        <w:t>Vatarakta</w:t>
      </w:r>
      <w:proofErr w:type="spellEnd"/>
      <w:r w:rsidRPr="007F43F6">
        <w:rPr>
          <w:color w:val="000000"/>
          <w:sz w:val="24"/>
          <w:szCs w:val="24"/>
        </w:rPr>
        <w:t xml:space="preserve">, </w:t>
      </w:r>
      <w:proofErr w:type="spellStart"/>
      <w:r w:rsidRPr="007F43F6">
        <w:rPr>
          <w:color w:val="000000"/>
          <w:sz w:val="24"/>
          <w:szCs w:val="24"/>
        </w:rPr>
        <w:t>Vatashonita</w:t>
      </w:r>
      <w:proofErr w:type="spellEnd"/>
      <w:r w:rsidRPr="007F43F6">
        <w:rPr>
          <w:color w:val="000000"/>
          <w:sz w:val="24"/>
          <w:szCs w:val="24"/>
        </w:rPr>
        <w:t xml:space="preserve">, gout, gouty arthritis, hyperuricemia, monosodium urate, </w:t>
      </w:r>
      <w:proofErr w:type="spellStart"/>
      <w:r w:rsidRPr="007F43F6">
        <w:rPr>
          <w:color w:val="000000"/>
          <w:sz w:val="24"/>
          <w:szCs w:val="24"/>
        </w:rPr>
        <w:t>Avarana</w:t>
      </w:r>
      <w:proofErr w:type="spellEnd"/>
      <w:r w:rsidRPr="007F43F6">
        <w:rPr>
          <w:color w:val="000000"/>
          <w:sz w:val="24"/>
          <w:szCs w:val="24"/>
        </w:rPr>
        <w:t>, Ayurveda, crystal arthritis, ultrasound, and dual-energy computed tomography.</w:t>
      </w:r>
    </w:p>
    <w:p w14:paraId="2E230AFC"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Literature was purposively selected according to relevance to the review question. Priority was given to original studies, contemporary rheumatology recommendations, classification criteria, systematic reviews, imaging literature, and publications directly examining the </w:t>
      </w:r>
      <w:proofErr w:type="spellStart"/>
      <w:r w:rsidRPr="007F43F6">
        <w:rPr>
          <w:color w:val="000000"/>
          <w:sz w:val="24"/>
          <w:szCs w:val="24"/>
        </w:rPr>
        <w:t>Vatarakta</w:t>
      </w:r>
      <w:proofErr w:type="spellEnd"/>
      <w:r w:rsidRPr="007F43F6">
        <w:rPr>
          <w:color w:val="000000"/>
          <w:sz w:val="24"/>
          <w:szCs w:val="24"/>
        </w:rPr>
        <w:t>-gout relationship.</w:t>
      </w:r>
    </w:p>
    <w:p w14:paraId="0CB775E4" w14:textId="0890F51B" w:rsidR="00005D84" w:rsidRPr="007F43F6" w:rsidRDefault="00005D84" w:rsidP="00005D84">
      <w:pPr>
        <w:spacing w:line="360" w:lineRule="auto"/>
        <w:jc w:val="both"/>
        <w:rPr>
          <w:color w:val="000000"/>
          <w:sz w:val="24"/>
          <w:szCs w:val="24"/>
        </w:rPr>
      </w:pPr>
      <w:r w:rsidRPr="007F43F6">
        <w:rPr>
          <w:color w:val="000000"/>
          <w:sz w:val="24"/>
          <w:szCs w:val="24"/>
        </w:rPr>
        <w:t>As this was a narrative review rather than a systematic review, exhaustive literature retrieval, formal risk-of-bias assessment, and quantitative synthesis were not undertaken.</w:t>
      </w:r>
    </w:p>
    <w:p w14:paraId="2A6A8EE5" w14:textId="3C17B74B" w:rsidR="00005D84" w:rsidRPr="004926F7" w:rsidRDefault="00005D84" w:rsidP="00005D84">
      <w:pPr>
        <w:spacing w:line="360" w:lineRule="auto"/>
        <w:jc w:val="both"/>
        <w:rPr>
          <w:b/>
          <w:bCs/>
          <w:color w:val="000000"/>
          <w:sz w:val="24"/>
          <w:szCs w:val="24"/>
        </w:rPr>
      </w:pPr>
      <w:r w:rsidRPr="007B4D77">
        <w:rPr>
          <w:b/>
          <w:bCs/>
          <w:color w:val="000000"/>
          <w:sz w:val="24"/>
          <w:szCs w:val="24"/>
        </w:rPr>
        <w:t xml:space="preserve"> Conceptual Synthesis</w:t>
      </w:r>
    </w:p>
    <w:p w14:paraId="54F8B27E" w14:textId="77777777" w:rsidR="00005D84" w:rsidRPr="007F43F6" w:rsidRDefault="00005D84" w:rsidP="00005D84">
      <w:pPr>
        <w:spacing w:line="360" w:lineRule="auto"/>
        <w:jc w:val="both"/>
        <w:rPr>
          <w:color w:val="000000"/>
          <w:sz w:val="24"/>
          <w:szCs w:val="24"/>
        </w:rPr>
      </w:pPr>
      <w:r w:rsidRPr="007F43F6">
        <w:rPr>
          <w:color w:val="000000"/>
          <w:sz w:val="24"/>
          <w:szCs w:val="24"/>
        </w:rPr>
        <w:t>Evidence was organized into five domains:</w:t>
      </w:r>
    </w:p>
    <w:p w14:paraId="63E47AAA" w14:textId="77777777" w:rsidR="00005D84" w:rsidRPr="007F43F6" w:rsidRDefault="00005D84" w:rsidP="00005D84">
      <w:pPr>
        <w:spacing w:line="360" w:lineRule="auto"/>
        <w:jc w:val="both"/>
        <w:rPr>
          <w:color w:val="000000"/>
          <w:sz w:val="24"/>
          <w:szCs w:val="24"/>
        </w:rPr>
      </w:pPr>
      <w:r w:rsidRPr="007F43F6">
        <w:rPr>
          <w:color w:val="000000"/>
          <w:sz w:val="24"/>
          <w:szCs w:val="24"/>
        </w:rPr>
        <w:t>1. Ayurvedic disease characterization;</w:t>
      </w:r>
    </w:p>
    <w:p w14:paraId="4F42C55E" w14:textId="77777777" w:rsidR="00005D84" w:rsidRPr="007F43F6" w:rsidRDefault="00005D84" w:rsidP="00005D84">
      <w:pPr>
        <w:spacing w:line="360" w:lineRule="auto"/>
        <w:jc w:val="both"/>
        <w:rPr>
          <w:color w:val="000000"/>
          <w:sz w:val="24"/>
          <w:szCs w:val="24"/>
        </w:rPr>
      </w:pPr>
      <w:r w:rsidRPr="007F43F6">
        <w:rPr>
          <w:color w:val="000000"/>
          <w:sz w:val="24"/>
          <w:szCs w:val="24"/>
        </w:rPr>
        <w:t>2. clinical phenotype;</w:t>
      </w:r>
    </w:p>
    <w:p w14:paraId="4F9A796B" w14:textId="77777777" w:rsidR="00005D84" w:rsidRPr="007F43F6" w:rsidRDefault="00005D84" w:rsidP="00005D84">
      <w:pPr>
        <w:spacing w:line="360" w:lineRule="auto"/>
        <w:jc w:val="both"/>
        <w:rPr>
          <w:color w:val="000000"/>
          <w:sz w:val="24"/>
          <w:szCs w:val="24"/>
        </w:rPr>
      </w:pPr>
      <w:r w:rsidRPr="007F43F6">
        <w:rPr>
          <w:color w:val="000000"/>
          <w:sz w:val="24"/>
          <w:szCs w:val="24"/>
        </w:rPr>
        <w:t>3. biochemical evidence;</w:t>
      </w:r>
    </w:p>
    <w:p w14:paraId="7430E8A4" w14:textId="77777777" w:rsidR="00005D84" w:rsidRPr="007F43F6" w:rsidRDefault="00005D84" w:rsidP="00005D84">
      <w:pPr>
        <w:spacing w:line="360" w:lineRule="auto"/>
        <w:jc w:val="both"/>
        <w:rPr>
          <w:color w:val="000000"/>
          <w:sz w:val="24"/>
          <w:szCs w:val="24"/>
        </w:rPr>
      </w:pPr>
      <w:r w:rsidRPr="007F43F6">
        <w:rPr>
          <w:color w:val="000000"/>
          <w:sz w:val="24"/>
          <w:szCs w:val="24"/>
        </w:rPr>
        <w:t>4. MSU crystal evidence, including direct crystal identification and imaging;</w:t>
      </w:r>
    </w:p>
    <w:p w14:paraId="1359D590" w14:textId="77777777" w:rsidR="00005D84" w:rsidRPr="007F43F6" w:rsidRDefault="00005D84" w:rsidP="00005D84">
      <w:pPr>
        <w:spacing w:line="360" w:lineRule="auto"/>
        <w:jc w:val="both"/>
        <w:rPr>
          <w:color w:val="000000"/>
          <w:sz w:val="24"/>
          <w:szCs w:val="24"/>
        </w:rPr>
      </w:pPr>
      <w:r w:rsidRPr="007F43F6">
        <w:rPr>
          <w:color w:val="000000"/>
          <w:sz w:val="24"/>
          <w:szCs w:val="24"/>
        </w:rPr>
        <w:t>5. independent modern rheumatological assessment.</w:t>
      </w:r>
    </w:p>
    <w:p w14:paraId="7862C40F" w14:textId="77777777" w:rsidR="00005D84" w:rsidRPr="007F43F6" w:rsidRDefault="00005D84" w:rsidP="00005D84">
      <w:pPr>
        <w:spacing w:line="360" w:lineRule="auto"/>
        <w:jc w:val="both"/>
        <w:rPr>
          <w:color w:val="000000"/>
          <w:sz w:val="24"/>
          <w:szCs w:val="24"/>
        </w:rPr>
      </w:pPr>
      <w:r w:rsidRPr="007F43F6">
        <w:rPr>
          <w:color w:val="000000"/>
          <w:sz w:val="24"/>
          <w:szCs w:val="24"/>
        </w:rPr>
        <w:t>This structure was used to distinguish clinical resemblance from biochemical association and disease-specific evidence.</w:t>
      </w:r>
    </w:p>
    <w:p w14:paraId="00086FFC" w14:textId="77777777" w:rsidR="00005D84" w:rsidRPr="004C45C9" w:rsidRDefault="00005D84" w:rsidP="00005D84">
      <w:pPr>
        <w:spacing w:line="360" w:lineRule="auto"/>
        <w:jc w:val="both"/>
        <w:rPr>
          <w:b/>
          <w:bCs/>
          <w:color w:val="000000"/>
          <w:sz w:val="24"/>
          <w:szCs w:val="24"/>
        </w:rPr>
      </w:pPr>
      <w:r w:rsidRPr="007F43F6">
        <w:rPr>
          <w:color w:val="000000"/>
          <w:sz w:val="24"/>
          <w:szCs w:val="24"/>
        </w:rPr>
        <w:t xml:space="preserve"> </w:t>
      </w:r>
      <w:r w:rsidRPr="004C45C9">
        <w:rPr>
          <w:b/>
          <w:bCs/>
          <w:color w:val="000000"/>
          <w:sz w:val="24"/>
          <w:szCs w:val="24"/>
        </w:rPr>
        <w:t xml:space="preserve">Ayurvedic Understanding of </w:t>
      </w:r>
      <w:proofErr w:type="spellStart"/>
      <w:r w:rsidRPr="004C45C9">
        <w:rPr>
          <w:b/>
          <w:bCs/>
          <w:color w:val="000000"/>
          <w:sz w:val="24"/>
          <w:szCs w:val="24"/>
        </w:rPr>
        <w:t>Vatarakta</w:t>
      </w:r>
      <w:proofErr w:type="spellEnd"/>
    </w:p>
    <w:p w14:paraId="5EBCC5AD" w14:textId="77777777" w:rsidR="00005D84" w:rsidRPr="007F43F6" w:rsidRDefault="00005D84" w:rsidP="00005D84">
      <w:pPr>
        <w:spacing w:line="360" w:lineRule="auto"/>
        <w:jc w:val="both"/>
        <w:rPr>
          <w:color w:val="000000"/>
          <w:sz w:val="24"/>
          <w:szCs w:val="24"/>
        </w:rPr>
      </w:pPr>
      <w:r w:rsidRPr="007F43F6">
        <w:rPr>
          <w:color w:val="000000"/>
          <w:sz w:val="24"/>
          <w:szCs w:val="24"/>
        </w:rPr>
        <w:lastRenderedPageBreak/>
        <w:t xml:space="preserve">The classical Ayurvedic description of </w:t>
      </w:r>
      <w:proofErr w:type="spellStart"/>
      <w:r w:rsidRPr="007F43F6">
        <w:rPr>
          <w:color w:val="000000"/>
          <w:sz w:val="24"/>
          <w:szCs w:val="24"/>
        </w:rPr>
        <w:t>Vatarakta</w:t>
      </w:r>
      <w:proofErr w:type="spellEnd"/>
      <w:r w:rsidRPr="007F43F6">
        <w:rPr>
          <w:color w:val="000000"/>
          <w:sz w:val="24"/>
          <w:szCs w:val="24"/>
        </w:rPr>
        <w:t xml:space="preserve"> is most extensively presented in the Charaka Samhita, Chikitsa </w:t>
      </w:r>
      <w:proofErr w:type="spellStart"/>
      <w:r w:rsidRPr="007F43F6">
        <w:rPr>
          <w:color w:val="000000"/>
          <w:sz w:val="24"/>
          <w:szCs w:val="24"/>
        </w:rPr>
        <w:t>Sthana</w:t>
      </w:r>
      <w:proofErr w:type="spellEnd"/>
      <w:r w:rsidRPr="007F43F6">
        <w:rPr>
          <w:color w:val="000000"/>
          <w:sz w:val="24"/>
          <w:szCs w:val="24"/>
        </w:rPr>
        <w:t xml:space="preserve">, Chapter 29. In this chapter, the causative factors are described in verses 5–10, synonyms in verse 11, the site of manifestation in verse 12, pathogenesis in verses 13–15, premonitory features in verses 16–18, and types with clinical features in verses 19–29 [11]. According to Achary Charak, </w:t>
      </w:r>
      <w:proofErr w:type="spellStart"/>
      <w:r w:rsidRPr="007F43F6">
        <w:rPr>
          <w:color w:val="000000"/>
          <w:sz w:val="24"/>
          <w:szCs w:val="24"/>
        </w:rPr>
        <w:t>Vatarakta</w:t>
      </w:r>
      <w:proofErr w:type="spellEnd"/>
      <w:r w:rsidRPr="007F43F6">
        <w:rPr>
          <w:color w:val="000000"/>
          <w:sz w:val="24"/>
          <w:szCs w:val="24"/>
        </w:rPr>
        <w:t xml:space="preserve"> arises through the pathological involvement of both Vata and Rakta. The disease is associated with causative factors related to diet and lifestyle, followed by disturbance of Rakta and obstruction of the normal movement of Vata. This interaction contributes to the characteristic disease process described in Ayurvedic terms . The concept of obstruction is central to the Ayurvedic interpretation of the disease. Contemporary discussions commonly explain this through </w:t>
      </w:r>
      <w:proofErr w:type="spellStart"/>
      <w:r w:rsidRPr="007F43F6">
        <w:rPr>
          <w:color w:val="000000"/>
          <w:sz w:val="24"/>
          <w:szCs w:val="24"/>
        </w:rPr>
        <w:t>Avarana</w:t>
      </w:r>
      <w:proofErr w:type="spellEnd"/>
      <w:r w:rsidRPr="007F43F6">
        <w:rPr>
          <w:color w:val="000000"/>
          <w:sz w:val="24"/>
          <w:szCs w:val="24"/>
        </w:rPr>
        <w:t>, particularly the obstruction of Vata by vitiated Rakta. The disturbed Vata-Rakta relationship is then understood to produce manifestations in the extremities and joints.</w:t>
      </w:r>
    </w:p>
    <w:p w14:paraId="0AF8615B"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Classical descriptions also distinguish superficial and deeper forms of the disease. </w:t>
      </w:r>
      <w:proofErr w:type="spellStart"/>
      <w:r w:rsidRPr="007F43F6">
        <w:rPr>
          <w:color w:val="000000"/>
          <w:sz w:val="24"/>
          <w:szCs w:val="24"/>
        </w:rPr>
        <w:t>Uttana</w:t>
      </w:r>
      <w:proofErr w:type="spellEnd"/>
      <w:r w:rsidRPr="007F43F6">
        <w:rPr>
          <w:color w:val="000000"/>
          <w:sz w:val="24"/>
          <w:szCs w:val="24"/>
        </w:rPr>
        <w:t xml:space="preserve"> </w:t>
      </w:r>
      <w:proofErr w:type="spellStart"/>
      <w:r w:rsidRPr="007F43F6">
        <w:rPr>
          <w:color w:val="000000"/>
          <w:sz w:val="24"/>
          <w:szCs w:val="24"/>
        </w:rPr>
        <w:t>Vatarakta</w:t>
      </w:r>
      <w:proofErr w:type="spellEnd"/>
      <w:r w:rsidRPr="007F43F6">
        <w:rPr>
          <w:color w:val="000000"/>
          <w:sz w:val="24"/>
          <w:szCs w:val="24"/>
        </w:rPr>
        <w:t xml:space="preserve"> is generally understood as a superficial presentation, whereas Gambhira </w:t>
      </w:r>
      <w:proofErr w:type="spellStart"/>
      <w:r w:rsidRPr="007F43F6">
        <w:rPr>
          <w:color w:val="000000"/>
          <w:sz w:val="24"/>
          <w:szCs w:val="24"/>
        </w:rPr>
        <w:t>Vatarakta</w:t>
      </w:r>
      <w:proofErr w:type="spellEnd"/>
      <w:r w:rsidRPr="007F43F6">
        <w:rPr>
          <w:color w:val="000000"/>
          <w:sz w:val="24"/>
          <w:szCs w:val="24"/>
        </w:rPr>
        <w:t xml:space="preserve"> indicates deeper involvement with more severe clinical expression [12]. This distinction suggests that </w:t>
      </w:r>
      <w:proofErr w:type="spellStart"/>
      <w:r w:rsidRPr="007F43F6">
        <w:rPr>
          <w:color w:val="000000"/>
          <w:sz w:val="24"/>
          <w:szCs w:val="24"/>
        </w:rPr>
        <w:t>Vatarakta</w:t>
      </w:r>
      <w:proofErr w:type="spellEnd"/>
      <w:r w:rsidRPr="007F43F6">
        <w:rPr>
          <w:color w:val="000000"/>
          <w:sz w:val="24"/>
          <w:szCs w:val="24"/>
        </w:rPr>
        <w:t xml:space="preserve"> is not a single-feature disease entity but a multidimensional Ayurvedic construct with variable depth, manifestation, and progression.</w:t>
      </w:r>
    </w:p>
    <w:p w14:paraId="75BBA98F"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Sushruta Samhita also discusses conditions relevant to Vata disorders and presentations overlapping with </w:t>
      </w:r>
      <w:proofErr w:type="spellStart"/>
      <w:r w:rsidRPr="007F43F6">
        <w:rPr>
          <w:color w:val="000000"/>
          <w:sz w:val="24"/>
          <w:szCs w:val="24"/>
        </w:rPr>
        <w:t>Vatarakta</w:t>
      </w:r>
      <w:proofErr w:type="spellEnd"/>
      <w:r w:rsidRPr="007F43F6">
        <w:rPr>
          <w:color w:val="000000"/>
          <w:sz w:val="24"/>
          <w:szCs w:val="24"/>
        </w:rPr>
        <w:t>, contributing further to the classical understanding of the disease spectrum [13].</w:t>
      </w:r>
    </w:p>
    <w:p w14:paraId="3B64DA6C"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For the purpose of modern correlation, the important point is that </w:t>
      </w:r>
      <w:proofErr w:type="spellStart"/>
      <w:r w:rsidRPr="007F43F6">
        <w:rPr>
          <w:color w:val="000000"/>
          <w:sz w:val="24"/>
          <w:szCs w:val="24"/>
        </w:rPr>
        <w:t>Vatarakta</w:t>
      </w:r>
      <w:proofErr w:type="spellEnd"/>
      <w:r w:rsidRPr="007F43F6">
        <w:rPr>
          <w:color w:val="000000"/>
          <w:sz w:val="24"/>
          <w:szCs w:val="24"/>
        </w:rPr>
        <w:t xml:space="preserve"> is not defined by serum urate or by any single laboratory parameter. It is an Ayurvedic disease construct based on causative factors, Dosha-Dushya involvement, pathogenesis, clinical features, and progression.</w:t>
      </w:r>
    </w:p>
    <w:p w14:paraId="271C244C"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description of </w:t>
      </w:r>
      <w:proofErr w:type="spellStart"/>
      <w:r w:rsidRPr="007F43F6">
        <w:rPr>
          <w:color w:val="000000"/>
          <w:sz w:val="24"/>
          <w:szCs w:val="24"/>
        </w:rPr>
        <w:t>Vatarakta</w:t>
      </w:r>
      <w:proofErr w:type="spellEnd"/>
      <w:r w:rsidRPr="007F43F6">
        <w:rPr>
          <w:color w:val="000000"/>
          <w:sz w:val="24"/>
          <w:szCs w:val="24"/>
        </w:rPr>
        <w:t xml:space="preserve"> is not confined to Charaka and Sushruta. Subsequent Ayurvedic compendia preserved and further organized the clinical understanding of the condition. Madhava Nidana is particularly relevant because of its emphasis on Nidana and differential clinical characterization of diseases. Its discussion of </w:t>
      </w:r>
      <w:proofErr w:type="spellStart"/>
      <w:r w:rsidRPr="007F43F6">
        <w:rPr>
          <w:color w:val="000000"/>
          <w:sz w:val="24"/>
          <w:szCs w:val="24"/>
        </w:rPr>
        <w:t>Vatarakta</w:t>
      </w:r>
      <w:proofErr w:type="spellEnd"/>
      <w:r w:rsidRPr="007F43F6">
        <w:rPr>
          <w:color w:val="000000"/>
          <w:sz w:val="24"/>
          <w:szCs w:val="24"/>
        </w:rPr>
        <w:t xml:space="preserve"> can be used to compare the later diagnostic tradition with the earlier descriptions of the </w:t>
      </w:r>
      <w:proofErr w:type="spellStart"/>
      <w:r w:rsidRPr="007F43F6">
        <w:rPr>
          <w:color w:val="000000"/>
          <w:sz w:val="24"/>
          <w:szCs w:val="24"/>
        </w:rPr>
        <w:t>Brihattrayi</w:t>
      </w:r>
      <w:proofErr w:type="spellEnd"/>
      <w:r w:rsidRPr="007F43F6">
        <w:rPr>
          <w:color w:val="000000"/>
          <w:sz w:val="24"/>
          <w:szCs w:val="24"/>
        </w:rPr>
        <w:t xml:space="preserve"> [14].</w:t>
      </w:r>
    </w:p>
    <w:p w14:paraId="7DA940E3"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Ashtanga Hridaya also discusses </w:t>
      </w:r>
      <w:proofErr w:type="spellStart"/>
      <w:r w:rsidRPr="007F43F6">
        <w:rPr>
          <w:color w:val="000000"/>
          <w:sz w:val="24"/>
          <w:szCs w:val="24"/>
        </w:rPr>
        <w:t>Vatarakta</w:t>
      </w:r>
      <w:proofErr w:type="spellEnd"/>
      <w:r w:rsidRPr="007F43F6">
        <w:rPr>
          <w:color w:val="000000"/>
          <w:sz w:val="24"/>
          <w:szCs w:val="24"/>
        </w:rPr>
        <w:t xml:space="preserve"> within the broader description and management of disorders involving Vata and Rakta [15]. Comparison of these descriptions with Charaka may help identify features that remained consistent across major classical traditions and those that received differing emphasis.</w:t>
      </w:r>
    </w:p>
    <w:p w14:paraId="612B3707" w14:textId="77777777" w:rsidR="00005D84" w:rsidRPr="007F43F6" w:rsidRDefault="00005D84" w:rsidP="00005D84">
      <w:pPr>
        <w:spacing w:line="360" w:lineRule="auto"/>
        <w:jc w:val="both"/>
        <w:rPr>
          <w:color w:val="000000"/>
          <w:sz w:val="24"/>
          <w:szCs w:val="24"/>
        </w:rPr>
      </w:pPr>
      <w:r w:rsidRPr="007F43F6">
        <w:rPr>
          <w:color w:val="000000"/>
          <w:sz w:val="24"/>
          <w:szCs w:val="24"/>
        </w:rPr>
        <w:lastRenderedPageBreak/>
        <w:t xml:space="preserve">Ashtanga </w:t>
      </w:r>
      <w:proofErr w:type="spellStart"/>
      <w:r w:rsidRPr="007F43F6">
        <w:rPr>
          <w:color w:val="000000"/>
          <w:sz w:val="24"/>
          <w:szCs w:val="24"/>
        </w:rPr>
        <w:t>Sangraha</w:t>
      </w:r>
      <w:proofErr w:type="spellEnd"/>
      <w:r w:rsidRPr="007F43F6">
        <w:rPr>
          <w:color w:val="000000"/>
          <w:sz w:val="24"/>
          <w:szCs w:val="24"/>
        </w:rPr>
        <w:t xml:space="preserve"> provides another relevant classical source and may be considered when reconstructing the historical Ayurvedic understanding of </w:t>
      </w:r>
      <w:proofErr w:type="spellStart"/>
      <w:r w:rsidRPr="007F43F6">
        <w:rPr>
          <w:color w:val="000000"/>
          <w:sz w:val="24"/>
          <w:szCs w:val="24"/>
        </w:rPr>
        <w:t>Vatarakta</w:t>
      </w:r>
      <w:proofErr w:type="spellEnd"/>
      <w:r w:rsidRPr="007F43F6">
        <w:rPr>
          <w:color w:val="000000"/>
          <w:sz w:val="24"/>
          <w:szCs w:val="24"/>
        </w:rPr>
        <w:t xml:space="preserve"> [16]. Together, these sources support analysis of </w:t>
      </w:r>
      <w:proofErr w:type="spellStart"/>
      <w:r w:rsidRPr="007F43F6">
        <w:rPr>
          <w:color w:val="000000"/>
          <w:sz w:val="24"/>
          <w:szCs w:val="24"/>
        </w:rPr>
        <w:t>Vatarakta</w:t>
      </w:r>
      <w:proofErr w:type="spellEnd"/>
      <w:r w:rsidRPr="007F43F6">
        <w:rPr>
          <w:color w:val="000000"/>
          <w:sz w:val="24"/>
          <w:szCs w:val="24"/>
        </w:rPr>
        <w:t xml:space="preserve"> as an Ayurvedic disease construct in its own right rather than beginning with the assumption that it represents a premodern description of gout.</w:t>
      </w:r>
    </w:p>
    <w:p w14:paraId="51EAFD68"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Later texts such as </w:t>
      </w:r>
      <w:proofErr w:type="spellStart"/>
      <w:r w:rsidRPr="007F43F6">
        <w:rPr>
          <w:color w:val="000000"/>
          <w:sz w:val="24"/>
          <w:szCs w:val="24"/>
        </w:rPr>
        <w:t>Bhavaprakasha</w:t>
      </w:r>
      <w:proofErr w:type="spellEnd"/>
      <w:r w:rsidRPr="007F43F6">
        <w:rPr>
          <w:color w:val="000000"/>
          <w:sz w:val="24"/>
          <w:szCs w:val="24"/>
        </w:rPr>
        <w:t xml:space="preserve"> can also be examined for their description of </w:t>
      </w:r>
      <w:proofErr w:type="spellStart"/>
      <w:r w:rsidRPr="007F43F6">
        <w:rPr>
          <w:color w:val="000000"/>
          <w:sz w:val="24"/>
          <w:szCs w:val="24"/>
        </w:rPr>
        <w:t>Vatarakta</w:t>
      </w:r>
      <w:proofErr w:type="spellEnd"/>
      <w:r w:rsidRPr="007F43F6">
        <w:rPr>
          <w:color w:val="000000"/>
          <w:sz w:val="24"/>
          <w:szCs w:val="24"/>
        </w:rPr>
        <w:t xml:space="preserve"> and its clinical differentiation [17]. The value of these later works for the present review is not that they provide biomedical confirmation of gout, but that they show how the </w:t>
      </w:r>
      <w:proofErr w:type="spellStart"/>
      <w:r w:rsidRPr="007F43F6">
        <w:rPr>
          <w:color w:val="000000"/>
          <w:sz w:val="24"/>
          <w:szCs w:val="24"/>
        </w:rPr>
        <w:t>Vatarakta</w:t>
      </w:r>
      <w:proofErr w:type="spellEnd"/>
      <w:r w:rsidRPr="007F43F6">
        <w:rPr>
          <w:color w:val="000000"/>
          <w:sz w:val="24"/>
          <w:szCs w:val="24"/>
        </w:rPr>
        <w:t xml:space="preserve"> construct was transmitted and interpreted within the Ayurvedic textual tradition.</w:t>
      </w:r>
    </w:p>
    <w:p w14:paraId="3F084DE8"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This historical continuity should be distinguished from biomedical validation. Agreement among Ayurvedic texts can strengthen confidence regarding the traditional characterization of </w:t>
      </w:r>
      <w:proofErr w:type="spellStart"/>
      <w:r w:rsidRPr="007F43F6">
        <w:rPr>
          <w:color w:val="000000"/>
          <w:sz w:val="24"/>
          <w:szCs w:val="24"/>
        </w:rPr>
        <w:t>Vatarakta</w:t>
      </w:r>
      <w:proofErr w:type="spellEnd"/>
      <w:r w:rsidRPr="007F43F6">
        <w:rPr>
          <w:color w:val="000000"/>
          <w:sz w:val="24"/>
          <w:szCs w:val="24"/>
        </w:rPr>
        <w:t>, but it cannot establish that the condition is pathologically identical to MSU crystal deposition.</w:t>
      </w:r>
    </w:p>
    <w:p w14:paraId="3CA18FED" w14:textId="77777777" w:rsidR="00005D84" w:rsidRPr="00935B4F" w:rsidRDefault="00005D84" w:rsidP="00005D84">
      <w:pPr>
        <w:spacing w:line="360" w:lineRule="auto"/>
        <w:jc w:val="both"/>
        <w:rPr>
          <w:b/>
          <w:bCs/>
          <w:color w:val="000000"/>
          <w:sz w:val="24"/>
          <w:szCs w:val="24"/>
        </w:rPr>
      </w:pPr>
      <w:r w:rsidRPr="00935B4F">
        <w:rPr>
          <w:b/>
          <w:bCs/>
          <w:color w:val="000000"/>
          <w:sz w:val="24"/>
          <w:szCs w:val="24"/>
        </w:rPr>
        <w:t>Modern Pathophysiology of Gout</w:t>
      </w:r>
    </w:p>
    <w:p w14:paraId="1D1B5E5A" w14:textId="77777777" w:rsidR="00005D84" w:rsidRPr="007F43F6" w:rsidRDefault="00005D84" w:rsidP="00005D84">
      <w:pPr>
        <w:spacing w:line="360" w:lineRule="auto"/>
        <w:jc w:val="both"/>
        <w:rPr>
          <w:color w:val="000000"/>
          <w:sz w:val="24"/>
          <w:szCs w:val="24"/>
        </w:rPr>
      </w:pPr>
      <w:r w:rsidRPr="007F43F6">
        <w:rPr>
          <w:color w:val="000000"/>
          <w:sz w:val="24"/>
          <w:szCs w:val="24"/>
        </w:rPr>
        <w:t>Gout is characterized by MSU crystal deposition resulting from urate supersaturation. Serum urate concentration is influenced by purine metabolism and renal and intestinal urate handling [18,19,20].</w:t>
      </w:r>
    </w:p>
    <w:p w14:paraId="3DFF61B6" w14:textId="77777777" w:rsidR="00005D84" w:rsidRPr="007F43F6" w:rsidRDefault="00005D84" w:rsidP="00005D84">
      <w:pPr>
        <w:spacing w:line="360" w:lineRule="auto"/>
        <w:jc w:val="both"/>
        <w:rPr>
          <w:color w:val="000000"/>
          <w:sz w:val="24"/>
          <w:szCs w:val="24"/>
        </w:rPr>
      </w:pPr>
      <w:r w:rsidRPr="007F43F6">
        <w:rPr>
          <w:color w:val="000000"/>
          <w:sz w:val="24"/>
          <w:szCs w:val="24"/>
        </w:rPr>
        <w:t>Deposited MSU crystals can activate innate immune pathways, including the NLRP3 inflammasome and interleukin-1-mediated inflammatory responses, producing acute gout flares. Continued crystal burden may contribute to recurrent flares, tophus formation, chronic inflammation, and structural joint damage .</w:t>
      </w:r>
    </w:p>
    <w:p w14:paraId="095453BE" w14:textId="77777777" w:rsidR="00005D84" w:rsidRPr="007F43F6" w:rsidRDefault="00005D84" w:rsidP="00005D84">
      <w:pPr>
        <w:spacing w:line="360" w:lineRule="auto"/>
        <w:jc w:val="both"/>
        <w:rPr>
          <w:color w:val="000000"/>
          <w:sz w:val="24"/>
          <w:szCs w:val="24"/>
        </w:rPr>
      </w:pPr>
      <w:r w:rsidRPr="007F43F6">
        <w:rPr>
          <w:color w:val="000000"/>
          <w:sz w:val="24"/>
          <w:szCs w:val="24"/>
        </w:rPr>
        <w:t>Hyperuricemia is biologically important in the pathogenesis of gout, but it is not synonymous with gout. Many individuals with hyperuricemia do not develop symptomatic gout. In addition, serum urate measured during an acute flare may not reflect the patient’s usual urate burden and may occasionally fall within the laboratory reference range [21,22].</w:t>
      </w:r>
    </w:p>
    <w:p w14:paraId="031D6496" w14:textId="77777777" w:rsidR="00005D84" w:rsidRPr="007F43F6" w:rsidRDefault="00005D84" w:rsidP="00005D84">
      <w:pPr>
        <w:spacing w:line="360" w:lineRule="auto"/>
        <w:jc w:val="both"/>
        <w:rPr>
          <w:color w:val="000000"/>
          <w:sz w:val="24"/>
          <w:szCs w:val="24"/>
        </w:rPr>
      </w:pPr>
      <w:r w:rsidRPr="007F43F6">
        <w:rPr>
          <w:color w:val="000000"/>
          <w:sz w:val="24"/>
          <w:szCs w:val="24"/>
        </w:rPr>
        <w:t>Thus, modern gout has a disease-specific pathological basis involving MSU crystal deposition, whereas hyperuricemia alone represents a biochemical risk factor or association rather than diagnostic proof.</w:t>
      </w:r>
    </w:p>
    <w:p w14:paraId="19A889B0" w14:textId="77777777" w:rsidR="00005D84" w:rsidRPr="00935B4F" w:rsidRDefault="00005D84" w:rsidP="00005D84">
      <w:pPr>
        <w:spacing w:line="360" w:lineRule="auto"/>
        <w:jc w:val="both"/>
        <w:rPr>
          <w:b/>
          <w:bCs/>
          <w:color w:val="000000"/>
          <w:sz w:val="24"/>
          <w:szCs w:val="24"/>
        </w:rPr>
      </w:pPr>
      <w:r w:rsidRPr="00935B4F">
        <w:rPr>
          <w:b/>
          <w:bCs/>
          <w:color w:val="000000"/>
          <w:sz w:val="24"/>
          <w:szCs w:val="24"/>
        </w:rPr>
        <w:t xml:space="preserve">Clinical Overlap Between </w:t>
      </w:r>
      <w:proofErr w:type="spellStart"/>
      <w:r w:rsidRPr="00935B4F">
        <w:rPr>
          <w:b/>
          <w:bCs/>
          <w:color w:val="000000"/>
          <w:sz w:val="24"/>
          <w:szCs w:val="24"/>
        </w:rPr>
        <w:t>Vatarakta</w:t>
      </w:r>
      <w:proofErr w:type="spellEnd"/>
      <w:r w:rsidRPr="00935B4F">
        <w:rPr>
          <w:b/>
          <w:bCs/>
          <w:color w:val="000000"/>
          <w:sz w:val="24"/>
          <w:szCs w:val="24"/>
        </w:rPr>
        <w:t xml:space="preserve"> and Gout</w:t>
      </w:r>
    </w:p>
    <w:p w14:paraId="71B6EB72"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strongest basis for correlating </w:t>
      </w:r>
      <w:proofErr w:type="spellStart"/>
      <w:r w:rsidRPr="007F43F6">
        <w:rPr>
          <w:color w:val="000000"/>
          <w:sz w:val="24"/>
          <w:szCs w:val="24"/>
        </w:rPr>
        <w:t>Vatarakta</w:t>
      </w:r>
      <w:proofErr w:type="spellEnd"/>
      <w:r w:rsidRPr="007F43F6">
        <w:rPr>
          <w:color w:val="000000"/>
          <w:sz w:val="24"/>
          <w:szCs w:val="24"/>
        </w:rPr>
        <w:t xml:space="preserve"> with gout lies in the clinical domain. Both conditions may involve painful peripheral joints, swelling, redness, warmth or burning sensation, recurrent inflammatory episodes, and functional limitation.</w:t>
      </w:r>
    </w:p>
    <w:p w14:paraId="11736256"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This clinical resemblance explains why gout is frequently selected as the nearest modern correlate of </w:t>
      </w:r>
      <w:proofErr w:type="spellStart"/>
      <w:r w:rsidRPr="007F43F6">
        <w:rPr>
          <w:color w:val="000000"/>
          <w:sz w:val="24"/>
          <w:szCs w:val="24"/>
        </w:rPr>
        <w:t>Vatarakta</w:t>
      </w:r>
      <w:proofErr w:type="spellEnd"/>
      <w:r w:rsidRPr="007F43F6">
        <w:rPr>
          <w:color w:val="000000"/>
          <w:sz w:val="24"/>
          <w:szCs w:val="24"/>
        </w:rPr>
        <w:t>. The comparison is reasonable at the level of phenotype, especially in patients with recurrent inflammatory arthritis affecting peripheral joints.</w:t>
      </w:r>
    </w:p>
    <w:p w14:paraId="129042B4" w14:textId="77777777" w:rsidR="00005D84" w:rsidRPr="007F43F6" w:rsidRDefault="00005D84" w:rsidP="00005D84">
      <w:pPr>
        <w:spacing w:line="360" w:lineRule="auto"/>
        <w:jc w:val="both"/>
        <w:rPr>
          <w:color w:val="000000"/>
          <w:sz w:val="24"/>
          <w:szCs w:val="24"/>
        </w:rPr>
      </w:pPr>
      <w:r w:rsidRPr="007F43F6">
        <w:rPr>
          <w:color w:val="000000"/>
          <w:sz w:val="24"/>
          <w:szCs w:val="24"/>
        </w:rPr>
        <w:lastRenderedPageBreak/>
        <w:t>However, these manifestations are not specific to gout. Painful inflammatory joint disease may also occur in other crystal-induced arthropathies, inflammatory arthritis, infectious arthritis, or degenerative joint disorders with inflammatory features. Therefore, clinical overlap supports correlation but does not establish universal equivalence.</w:t>
      </w:r>
    </w:p>
    <w:p w14:paraId="435BB57A" w14:textId="77777777" w:rsidR="00005D84" w:rsidRPr="00935B4F" w:rsidRDefault="00005D84" w:rsidP="00005D84">
      <w:pPr>
        <w:spacing w:line="360" w:lineRule="auto"/>
        <w:jc w:val="both"/>
        <w:rPr>
          <w:b/>
          <w:bCs/>
          <w:color w:val="000000"/>
          <w:sz w:val="24"/>
          <w:szCs w:val="24"/>
        </w:rPr>
      </w:pPr>
      <w:r w:rsidRPr="00935B4F">
        <w:rPr>
          <w:b/>
          <w:bCs/>
          <w:color w:val="000000"/>
          <w:sz w:val="24"/>
          <w:szCs w:val="24"/>
        </w:rPr>
        <w:t xml:space="preserve"> Hyperuricemia: Association Rather Than Diagnostic Equivalence</w:t>
      </w:r>
    </w:p>
    <w:p w14:paraId="304DEB1A" w14:textId="77777777" w:rsidR="00005D84" w:rsidRPr="007F43F6" w:rsidRDefault="00005D84" w:rsidP="00005D84">
      <w:pPr>
        <w:spacing w:line="360" w:lineRule="auto"/>
        <w:jc w:val="both"/>
        <w:rPr>
          <w:color w:val="000000"/>
          <w:sz w:val="24"/>
          <w:szCs w:val="24"/>
        </w:rPr>
      </w:pPr>
      <w:r w:rsidRPr="007F43F6">
        <w:rPr>
          <w:color w:val="000000"/>
          <w:sz w:val="24"/>
          <w:szCs w:val="24"/>
        </w:rPr>
        <w:t>Distinguishing hyperuricemia from gout is essential in Ayurvedic clinical research. Urate supersaturation promotes MSU crystallization and deposition, but an elevated serum urate concentration alone is insufficient to establish gout [23,24].</w:t>
      </w:r>
    </w:p>
    <w:p w14:paraId="38411FDC"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This distinction has two important implications. First, if a patient diagnosed with </w:t>
      </w:r>
      <w:proofErr w:type="spellStart"/>
      <w:r w:rsidRPr="007F43F6">
        <w:rPr>
          <w:color w:val="000000"/>
          <w:sz w:val="24"/>
          <w:szCs w:val="24"/>
        </w:rPr>
        <w:t>Vatarakta</w:t>
      </w:r>
      <w:proofErr w:type="spellEnd"/>
      <w:r w:rsidRPr="007F43F6">
        <w:rPr>
          <w:color w:val="000000"/>
          <w:sz w:val="24"/>
          <w:szCs w:val="24"/>
        </w:rPr>
        <w:t xml:space="preserve"> has elevated serum urate, this provides a relevant biochemical finding but does not independently prove that the patient has gout. Second, if an Ayurvedic intervention reduces serum urate, that result may indicate a biochemical effect, but it does not necessarily demonstrate resolution of MSU crystal deposition or confirm that the original clinical condition was gout.</w:t>
      </w:r>
    </w:p>
    <w:p w14:paraId="3570057A" w14:textId="77777777" w:rsidR="00005D84" w:rsidRPr="007F43F6" w:rsidRDefault="00005D84" w:rsidP="00005D84">
      <w:pPr>
        <w:spacing w:line="360" w:lineRule="auto"/>
        <w:jc w:val="both"/>
        <w:rPr>
          <w:color w:val="000000"/>
          <w:sz w:val="24"/>
          <w:szCs w:val="24"/>
        </w:rPr>
      </w:pPr>
    </w:p>
    <w:p w14:paraId="258EE8E5" w14:textId="77777777" w:rsidR="00005D84" w:rsidRPr="007F43F6" w:rsidRDefault="00005D84" w:rsidP="00005D84">
      <w:pPr>
        <w:spacing w:line="360" w:lineRule="auto"/>
        <w:jc w:val="both"/>
        <w:rPr>
          <w:color w:val="000000"/>
          <w:sz w:val="24"/>
          <w:szCs w:val="24"/>
        </w:rPr>
      </w:pPr>
      <w:r w:rsidRPr="007F43F6">
        <w:rPr>
          <w:color w:val="000000"/>
          <w:sz w:val="24"/>
          <w:szCs w:val="24"/>
        </w:rPr>
        <w:t>Therefore, future research should clearly separate three outcome domains:</w:t>
      </w:r>
    </w:p>
    <w:p w14:paraId="76896F48" w14:textId="77777777" w:rsidR="00005D84" w:rsidRPr="007F43F6" w:rsidRDefault="00005D84" w:rsidP="00005D84">
      <w:pPr>
        <w:spacing w:line="360" w:lineRule="auto"/>
        <w:jc w:val="both"/>
        <w:rPr>
          <w:color w:val="000000"/>
          <w:sz w:val="24"/>
          <w:szCs w:val="24"/>
        </w:rPr>
      </w:pPr>
      <w:r w:rsidRPr="007F43F6">
        <w:rPr>
          <w:color w:val="000000"/>
          <w:sz w:val="24"/>
          <w:szCs w:val="24"/>
        </w:rPr>
        <w:t>1. Ayurvedic clinical response;</w:t>
      </w:r>
    </w:p>
    <w:p w14:paraId="117F120C" w14:textId="77777777" w:rsidR="00005D84" w:rsidRPr="007F43F6" w:rsidRDefault="00005D84" w:rsidP="00005D84">
      <w:pPr>
        <w:spacing w:line="360" w:lineRule="auto"/>
        <w:jc w:val="both"/>
        <w:rPr>
          <w:color w:val="000000"/>
          <w:sz w:val="24"/>
          <w:szCs w:val="24"/>
        </w:rPr>
      </w:pPr>
      <w:r w:rsidRPr="007F43F6">
        <w:rPr>
          <w:color w:val="000000"/>
          <w:sz w:val="24"/>
          <w:szCs w:val="24"/>
        </w:rPr>
        <w:t>2. serum urate or biochemical response;</w:t>
      </w:r>
    </w:p>
    <w:p w14:paraId="52E4179F" w14:textId="77777777" w:rsidR="00005D84" w:rsidRPr="007F43F6" w:rsidRDefault="00005D84" w:rsidP="00005D84">
      <w:pPr>
        <w:spacing w:line="360" w:lineRule="auto"/>
        <w:jc w:val="both"/>
        <w:rPr>
          <w:color w:val="000000"/>
          <w:sz w:val="24"/>
          <w:szCs w:val="24"/>
        </w:rPr>
      </w:pPr>
      <w:r w:rsidRPr="007F43F6">
        <w:rPr>
          <w:color w:val="000000"/>
          <w:sz w:val="24"/>
          <w:szCs w:val="24"/>
        </w:rPr>
        <w:t>3. disease-specific evidence of gout, such as MSU crystal identification or imaging evidence of urate deposition.</w:t>
      </w:r>
    </w:p>
    <w:p w14:paraId="136B109F"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Without this distinction, studies may overstate the relationship between </w:t>
      </w:r>
      <w:proofErr w:type="spellStart"/>
      <w:r w:rsidRPr="007F43F6">
        <w:rPr>
          <w:color w:val="000000"/>
          <w:sz w:val="24"/>
          <w:szCs w:val="24"/>
        </w:rPr>
        <w:t>Vatarakta</w:t>
      </w:r>
      <w:proofErr w:type="spellEnd"/>
      <w:r w:rsidRPr="007F43F6">
        <w:rPr>
          <w:color w:val="000000"/>
          <w:sz w:val="24"/>
          <w:szCs w:val="24"/>
        </w:rPr>
        <w:t>, hyperuricemia, and gout.</w:t>
      </w:r>
    </w:p>
    <w:p w14:paraId="0D695FC8" w14:textId="77777777" w:rsidR="00005D84" w:rsidRPr="00935B4F" w:rsidRDefault="00005D84" w:rsidP="00005D84">
      <w:pPr>
        <w:spacing w:line="360" w:lineRule="auto"/>
        <w:jc w:val="both"/>
        <w:rPr>
          <w:b/>
          <w:bCs/>
          <w:color w:val="000000"/>
          <w:sz w:val="24"/>
          <w:szCs w:val="24"/>
        </w:rPr>
      </w:pPr>
      <w:r w:rsidRPr="00935B4F">
        <w:rPr>
          <w:b/>
          <w:bCs/>
          <w:color w:val="000000"/>
          <w:sz w:val="24"/>
          <w:szCs w:val="24"/>
        </w:rPr>
        <w:t>Crystal Identification and Gout Classification</w:t>
      </w:r>
    </w:p>
    <w:p w14:paraId="1E8C4217"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MSU crystal identification is particularly important when investigating the proposed relationship between </w:t>
      </w:r>
      <w:proofErr w:type="spellStart"/>
      <w:r w:rsidRPr="007F43F6">
        <w:rPr>
          <w:color w:val="000000"/>
          <w:sz w:val="24"/>
          <w:szCs w:val="24"/>
        </w:rPr>
        <w:t>Vatarakta</w:t>
      </w:r>
      <w:proofErr w:type="spellEnd"/>
      <w:r w:rsidRPr="007F43F6">
        <w:rPr>
          <w:color w:val="000000"/>
          <w:sz w:val="24"/>
          <w:szCs w:val="24"/>
        </w:rPr>
        <w:t xml:space="preserve"> and gout.</w:t>
      </w:r>
    </w:p>
    <w:p w14:paraId="05D03C4F" w14:textId="77777777" w:rsidR="00005D84" w:rsidRPr="007F43F6" w:rsidRDefault="00005D84" w:rsidP="00005D84">
      <w:pPr>
        <w:spacing w:line="360" w:lineRule="auto"/>
        <w:jc w:val="both"/>
        <w:rPr>
          <w:color w:val="000000"/>
          <w:sz w:val="24"/>
          <w:szCs w:val="24"/>
        </w:rPr>
      </w:pPr>
      <w:r w:rsidRPr="007F43F6">
        <w:rPr>
          <w:color w:val="000000"/>
          <w:sz w:val="24"/>
          <w:szCs w:val="24"/>
        </w:rPr>
        <w:t>The 2015 ACR/EULAR gout classification criteria state that demonstration of MSU crystals in synovial fluid from a symptomatic joint or bursa, or in a tophus, is sufficient for classification as gout [25]. These are classification criteria and should not be used interchangeably with clinical diagnostic criteria. In the absence of crystal confirmation, the criteria use weighted clinical, laboratory, and imaging features.</w:t>
      </w:r>
    </w:p>
    <w:p w14:paraId="20A64EE9" w14:textId="77777777" w:rsidR="00005D84" w:rsidRPr="007F43F6" w:rsidRDefault="00005D84" w:rsidP="00005D84">
      <w:pPr>
        <w:spacing w:line="360" w:lineRule="auto"/>
        <w:jc w:val="both"/>
        <w:rPr>
          <w:color w:val="000000"/>
          <w:sz w:val="24"/>
          <w:szCs w:val="24"/>
        </w:rPr>
      </w:pPr>
      <w:r w:rsidRPr="007F43F6">
        <w:rPr>
          <w:color w:val="000000"/>
          <w:sz w:val="24"/>
          <w:szCs w:val="24"/>
        </w:rPr>
        <w:t>EULAR diagnostic recommendations separately emphasize synovial-fluid crystal identification in suspected gout where feasible and caution against diagnosing gout solely on the basis of hyperuricemia [26].</w:t>
      </w:r>
    </w:p>
    <w:p w14:paraId="272DFA91"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For future </w:t>
      </w:r>
      <w:proofErr w:type="spellStart"/>
      <w:r w:rsidRPr="007F43F6">
        <w:rPr>
          <w:color w:val="000000"/>
          <w:sz w:val="24"/>
          <w:szCs w:val="24"/>
        </w:rPr>
        <w:t>Vatarakta</w:t>
      </w:r>
      <w:proofErr w:type="spellEnd"/>
      <w:r w:rsidRPr="007F43F6">
        <w:rPr>
          <w:color w:val="000000"/>
          <w:sz w:val="24"/>
          <w:szCs w:val="24"/>
        </w:rPr>
        <w:t xml:space="preserve">-gout research, this distinction is methodologically important. </w:t>
      </w:r>
    </w:p>
    <w:p w14:paraId="3FE5C850" w14:textId="77777777" w:rsidR="004926F7" w:rsidRDefault="004926F7" w:rsidP="00005D84">
      <w:pPr>
        <w:spacing w:line="360" w:lineRule="auto"/>
        <w:jc w:val="both"/>
        <w:rPr>
          <w:b/>
          <w:bCs/>
          <w:color w:val="000000"/>
          <w:sz w:val="24"/>
          <w:szCs w:val="24"/>
        </w:rPr>
      </w:pPr>
    </w:p>
    <w:p w14:paraId="29F24FD0" w14:textId="74DF91B5" w:rsidR="00005D84" w:rsidRPr="00935B4F" w:rsidRDefault="00005D84" w:rsidP="00005D84">
      <w:pPr>
        <w:spacing w:line="360" w:lineRule="auto"/>
        <w:jc w:val="both"/>
        <w:rPr>
          <w:b/>
          <w:bCs/>
          <w:color w:val="000000"/>
          <w:sz w:val="24"/>
          <w:szCs w:val="24"/>
        </w:rPr>
      </w:pPr>
      <w:r w:rsidRPr="00935B4F">
        <w:rPr>
          <w:b/>
          <w:bCs/>
          <w:color w:val="000000"/>
          <w:sz w:val="24"/>
          <w:szCs w:val="24"/>
        </w:rPr>
        <w:lastRenderedPageBreak/>
        <w:t>Role of Imaging</w:t>
      </w:r>
    </w:p>
    <w:p w14:paraId="4FECAECF" w14:textId="77777777" w:rsidR="00005D84" w:rsidRPr="007F43F6" w:rsidRDefault="00005D84" w:rsidP="00005D84">
      <w:pPr>
        <w:spacing w:line="360" w:lineRule="auto"/>
        <w:jc w:val="both"/>
        <w:rPr>
          <w:color w:val="000000"/>
          <w:sz w:val="24"/>
          <w:szCs w:val="24"/>
        </w:rPr>
      </w:pPr>
      <w:r w:rsidRPr="007F43F6">
        <w:rPr>
          <w:color w:val="000000"/>
          <w:sz w:val="24"/>
          <w:szCs w:val="24"/>
        </w:rPr>
        <w:t>Ultrasonography and dual-energy computed tomography (DECT) can provide objective evidence relevant to urate deposition. Ultrasound may demonstrate findings such as the double-contour sign and tophaceous deposits, while DECT can identify material characteristics compatible with urate deposition [27,28].</w:t>
      </w:r>
    </w:p>
    <w:p w14:paraId="45FB29A5"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These imaging methods provide an important opportunity for future </w:t>
      </w:r>
      <w:proofErr w:type="spellStart"/>
      <w:r w:rsidRPr="007F43F6">
        <w:rPr>
          <w:color w:val="000000"/>
          <w:sz w:val="24"/>
          <w:szCs w:val="24"/>
        </w:rPr>
        <w:t>Vatarakta</w:t>
      </w:r>
      <w:proofErr w:type="spellEnd"/>
      <w:r w:rsidRPr="007F43F6">
        <w:rPr>
          <w:color w:val="000000"/>
          <w:sz w:val="24"/>
          <w:szCs w:val="24"/>
        </w:rPr>
        <w:t xml:space="preserve"> research. Instead of relying only on symptoms and serum urate, studies can investigate whether patients classified as having </w:t>
      </w:r>
      <w:proofErr w:type="spellStart"/>
      <w:r w:rsidRPr="007F43F6">
        <w:rPr>
          <w:color w:val="000000"/>
          <w:sz w:val="24"/>
          <w:szCs w:val="24"/>
        </w:rPr>
        <w:t>Vatarakta</w:t>
      </w:r>
      <w:proofErr w:type="spellEnd"/>
      <w:r w:rsidRPr="007F43F6">
        <w:rPr>
          <w:color w:val="000000"/>
          <w:sz w:val="24"/>
          <w:szCs w:val="24"/>
        </w:rPr>
        <w:t xml:space="preserve"> demonstrate objective evidence of urate deposition.</w:t>
      </w:r>
    </w:p>
    <w:p w14:paraId="4F796EBD" w14:textId="77777777" w:rsidR="00005D84" w:rsidRPr="007F43F6" w:rsidRDefault="00005D84" w:rsidP="00005D84">
      <w:pPr>
        <w:spacing w:line="360" w:lineRule="auto"/>
        <w:jc w:val="both"/>
        <w:rPr>
          <w:color w:val="000000"/>
          <w:sz w:val="24"/>
          <w:szCs w:val="24"/>
        </w:rPr>
      </w:pPr>
      <w:r w:rsidRPr="007F43F6">
        <w:rPr>
          <w:color w:val="000000"/>
          <w:sz w:val="24"/>
          <w:szCs w:val="24"/>
        </w:rPr>
        <w:t>However, imaging findings must be interpreted carefully. Diagnostic performance may vary according to disease duration, anatomical site, technical factors, and crystal burden . Imaging should therefore be considered as part of a broader clinical and diagnostic assessment and should not be presented as universally equivalent to direct crystal identification.</w:t>
      </w:r>
    </w:p>
    <w:p w14:paraId="36BC9C8F" w14:textId="490142FE" w:rsidR="00005D84" w:rsidRPr="004926F7" w:rsidRDefault="00005D84" w:rsidP="00005D84">
      <w:pPr>
        <w:spacing w:line="360" w:lineRule="auto"/>
        <w:jc w:val="both"/>
        <w:rPr>
          <w:b/>
          <w:bCs/>
          <w:color w:val="000000"/>
          <w:sz w:val="24"/>
          <w:szCs w:val="24"/>
        </w:rPr>
      </w:pPr>
      <w:proofErr w:type="spellStart"/>
      <w:r w:rsidRPr="00935B4F">
        <w:rPr>
          <w:b/>
          <w:bCs/>
          <w:color w:val="000000"/>
          <w:sz w:val="24"/>
          <w:szCs w:val="24"/>
        </w:rPr>
        <w:t>Avarana</w:t>
      </w:r>
      <w:proofErr w:type="spellEnd"/>
      <w:r w:rsidRPr="00935B4F">
        <w:rPr>
          <w:b/>
          <w:bCs/>
          <w:color w:val="000000"/>
          <w:sz w:val="24"/>
          <w:szCs w:val="24"/>
        </w:rPr>
        <w:t xml:space="preserve"> and the Limits of Biomedical Equivalence</w:t>
      </w:r>
    </w:p>
    <w:p w14:paraId="7CCEDC55" w14:textId="77777777" w:rsidR="00005D84" w:rsidRPr="007F43F6" w:rsidRDefault="00005D84" w:rsidP="00005D84">
      <w:pPr>
        <w:spacing w:line="360" w:lineRule="auto"/>
        <w:jc w:val="both"/>
        <w:rPr>
          <w:color w:val="000000"/>
          <w:sz w:val="24"/>
          <w:szCs w:val="24"/>
        </w:rPr>
      </w:pPr>
      <w:proofErr w:type="spellStart"/>
      <w:r w:rsidRPr="007F43F6">
        <w:rPr>
          <w:color w:val="000000"/>
          <w:sz w:val="24"/>
          <w:szCs w:val="24"/>
        </w:rPr>
        <w:t>Avarana</w:t>
      </w:r>
      <w:proofErr w:type="spellEnd"/>
      <w:r w:rsidRPr="007F43F6">
        <w:rPr>
          <w:color w:val="000000"/>
          <w:sz w:val="24"/>
          <w:szCs w:val="24"/>
        </w:rPr>
        <w:t xml:space="preserve"> is an important concept in the Ayurvedic explanation of </w:t>
      </w:r>
      <w:proofErr w:type="spellStart"/>
      <w:r w:rsidRPr="007F43F6">
        <w:rPr>
          <w:color w:val="000000"/>
          <w:sz w:val="24"/>
          <w:szCs w:val="24"/>
        </w:rPr>
        <w:t>Vatarakta</w:t>
      </w:r>
      <w:proofErr w:type="spellEnd"/>
      <w:r w:rsidRPr="007F43F6">
        <w:rPr>
          <w:color w:val="000000"/>
          <w:sz w:val="24"/>
          <w:szCs w:val="24"/>
        </w:rPr>
        <w:t xml:space="preserve">. It describes obstruction or interference affecting the normal function or movement of Vata. In the context of </w:t>
      </w:r>
      <w:proofErr w:type="spellStart"/>
      <w:r w:rsidRPr="007F43F6">
        <w:rPr>
          <w:color w:val="000000"/>
          <w:sz w:val="24"/>
          <w:szCs w:val="24"/>
        </w:rPr>
        <w:t>Vatarakta</w:t>
      </w:r>
      <w:proofErr w:type="spellEnd"/>
      <w:r w:rsidRPr="007F43F6">
        <w:rPr>
          <w:color w:val="000000"/>
          <w:sz w:val="24"/>
          <w:szCs w:val="24"/>
        </w:rPr>
        <w:t xml:space="preserve">, this relationship is described through obstruction of Vata by vitiated Rakta , and has subsequently been discussed in contemporary Ayurvedic literature through the framework of </w:t>
      </w:r>
      <w:proofErr w:type="spellStart"/>
      <w:r w:rsidRPr="007F43F6">
        <w:rPr>
          <w:color w:val="000000"/>
          <w:sz w:val="24"/>
          <w:szCs w:val="24"/>
        </w:rPr>
        <w:t>Avarana</w:t>
      </w:r>
      <w:proofErr w:type="spellEnd"/>
      <w:r w:rsidRPr="007F43F6">
        <w:rPr>
          <w:color w:val="000000"/>
          <w:sz w:val="24"/>
          <w:szCs w:val="24"/>
        </w:rPr>
        <w:t xml:space="preserve"> [29].</w:t>
      </w:r>
    </w:p>
    <w:p w14:paraId="26E7B200"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It may be tempting to interpret </w:t>
      </w:r>
      <w:proofErr w:type="spellStart"/>
      <w:r w:rsidRPr="007F43F6">
        <w:rPr>
          <w:color w:val="000000"/>
          <w:sz w:val="24"/>
          <w:szCs w:val="24"/>
        </w:rPr>
        <w:t>Avarana</w:t>
      </w:r>
      <w:proofErr w:type="spellEnd"/>
      <w:r w:rsidRPr="007F43F6">
        <w:rPr>
          <w:color w:val="000000"/>
          <w:sz w:val="24"/>
          <w:szCs w:val="24"/>
        </w:rPr>
        <w:t xml:space="preserve"> as equivalent to vascular obstruction, inflammatory blockage, crystal deposition, immune activation, or another biomedical mechanism. At present, however, such equivalence has not been established.</w:t>
      </w:r>
    </w:p>
    <w:p w14:paraId="3BF3085A" w14:textId="5073D580" w:rsidR="00005D84" w:rsidRPr="007F43F6" w:rsidRDefault="00005D84" w:rsidP="00005D84">
      <w:pPr>
        <w:spacing w:line="360" w:lineRule="auto"/>
        <w:jc w:val="both"/>
        <w:rPr>
          <w:color w:val="000000"/>
          <w:sz w:val="24"/>
          <w:szCs w:val="24"/>
        </w:rPr>
      </w:pPr>
      <w:r w:rsidRPr="007F43F6">
        <w:rPr>
          <w:color w:val="000000"/>
          <w:sz w:val="24"/>
          <w:szCs w:val="24"/>
        </w:rPr>
        <w:t xml:space="preserve">The more scientifically appropriate position is that </w:t>
      </w:r>
      <w:proofErr w:type="spellStart"/>
      <w:r w:rsidRPr="007F43F6">
        <w:rPr>
          <w:color w:val="000000"/>
          <w:sz w:val="24"/>
          <w:szCs w:val="24"/>
        </w:rPr>
        <w:t>Avarana</w:t>
      </w:r>
      <w:proofErr w:type="spellEnd"/>
      <w:r w:rsidRPr="007F43F6">
        <w:rPr>
          <w:color w:val="000000"/>
          <w:sz w:val="24"/>
          <w:szCs w:val="24"/>
        </w:rPr>
        <w:t xml:space="preserve"> should be retained as an Ayurvedic theoretical construct. Its possible relationship with measurable biomedical phenomena—such as inflammation, crystal burden, imaging findings, or vascular changes—should be treated as a research question rather than an established fact.</w:t>
      </w:r>
    </w:p>
    <w:p w14:paraId="75943923" w14:textId="77777777" w:rsidR="00005D84" w:rsidRPr="00935B4F" w:rsidRDefault="00005D84" w:rsidP="00005D84">
      <w:pPr>
        <w:spacing w:line="360" w:lineRule="auto"/>
        <w:jc w:val="both"/>
        <w:rPr>
          <w:b/>
          <w:bCs/>
          <w:color w:val="000000"/>
          <w:sz w:val="24"/>
          <w:szCs w:val="24"/>
        </w:rPr>
      </w:pPr>
      <w:r w:rsidRPr="00935B4F">
        <w:rPr>
          <w:b/>
          <w:bCs/>
          <w:color w:val="000000"/>
          <w:sz w:val="24"/>
          <w:szCs w:val="24"/>
        </w:rPr>
        <w:t>Differential Diagnosis and Limits of Correlation</w:t>
      </w:r>
    </w:p>
    <w:p w14:paraId="5260E8C1" w14:textId="77777777" w:rsidR="00005D84" w:rsidRPr="007F43F6" w:rsidRDefault="00005D84" w:rsidP="00005D84">
      <w:pPr>
        <w:spacing w:line="360" w:lineRule="auto"/>
        <w:jc w:val="both"/>
        <w:rPr>
          <w:color w:val="000000"/>
          <w:sz w:val="24"/>
          <w:szCs w:val="24"/>
        </w:rPr>
      </w:pPr>
      <w:r w:rsidRPr="007F43F6">
        <w:rPr>
          <w:color w:val="000000"/>
          <w:sz w:val="24"/>
          <w:szCs w:val="24"/>
        </w:rPr>
        <w:t>Painful inflammatory joint manifestations are not specific to gout. Calcium pyrophosphate deposition (CPPD) disease can present as an acute inflammatory arthritis and may clinically resemble gout [30]. This overlap is relevant when a modern diagnosis is assigned primarily from the clinical pattern rather than from disease-specific evidence.</w:t>
      </w:r>
    </w:p>
    <w:p w14:paraId="6ACE034F"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Other inflammatory, infectious, and degenerative arthropathies may also need to be considered according to the clinical presentation. This does not mean that these disorders should be regarded as modern equivalents of </w:t>
      </w:r>
      <w:proofErr w:type="spellStart"/>
      <w:r w:rsidRPr="007F43F6">
        <w:rPr>
          <w:color w:val="000000"/>
          <w:sz w:val="24"/>
          <w:szCs w:val="24"/>
        </w:rPr>
        <w:t>Vatarakta</w:t>
      </w:r>
      <w:proofErr w:type="spellEnd"/>
      <w:r w:rsidRPr="007F43F6">
        <w:rPr>
          <w:color w:val="000000"/>
          <w:sz w:val="24"/>
          <w:szCs w:val="24"/>
        </w:rPr>
        <w:t>. Rather, it illustrates why an Ayurvedic diagnosis should not automatically determine the modern rheumatological diagnosis.</w:t>
      </w:r>
    </w:p>
    <w:p w14:paraId="7C61EDAC" w14:textId="77777777" w:rsidR="00005D84" w:rsidRPr="007E2FAA" w:rsidRDefault="00005D84" w:rsidP="00005D84">
      <w:pPr>
        <w:spacing w:line="360" w:lineRule="auto"/>
        <w:jc w:val="both"/>
        <w:rPr>
          <w:b/>
          <w:bCs/>
          <w:color w:val="000000"/>
          <w:sz w:val="24"/>
          <w:szCs w:val="24"/>
        </w:rPr>
      </w:pPr>
      <w:r w:rsidRPr="007E2FAA">
        <w:rPr>
          <w:b/>
          <w:bCs/>
          <w:color w:val="000000"/>
          <w:sz w:val="24"/>
          <w:szCs w:val="24"/>
        </w:rPr>
        <w:lastRenderedPageBreak/>
        <w:t xml:space="preserve">Proposed Multidomain </w:t>
      </w:r>
      <w:proofErr w:type="spellStart"/>
      <w:r w:rsidRPr="007E2FAA">
        <w:rPr>
          <w:b/>
          <w:bCs/>
          <w:color w:val="000000"/>
          <w:sz w:val="24"/>
          <w:szCs w:val="24"/>
        </w:rPr>
        <w:t>Vatarakta</w:t>
      </w:r>
      <w:proofErr w:type="spellEnd"/>
      <w:r w:rsidRPr="007E2FAA">
        <w:rPr>
          <w:b/>
          <w:bCs/>
          <w:color w:val="000000"/>
          <w:sz w:val="24"/>
          <w:szCs w:val="24"/>
        </w:rPr>
        <w:t>-Gout Correlation Framework</w:t>
      </w:r>
    </w:p>
    <w:p w14:paraId="53E7E8FA" w14:textId="77777777" w:rsidR="00005D84" w:rsidRPr="007F43F6" w:rsidRDefault="00005D84" w:rsidP="00005D84">
      <w:pPr>
        <w:spacing w:line="360" w:lineRule="auto"/>
        <w:jc w:val="both"/>
        <w:rPr>
          <w:color w:val="000000"/>
          <w:sz w:val="24"/>
          <w:szCs w:val="24"/>
        </w:rPr>
      </w:pPr>
    </w:p>
    <w:p w14:paraId="25764860" w14:textId="06D2776E" w:rsidR="00005D84" w:rsidRPr="007F43F6" w:rsidRDefault="00005D84" w:rsidP="00005D84">
      <w:pPr>
        <w:spacing w:line="360" w:lineRule="auto"/>
        <w:jc w:val="both"/>
        <w:rPr>
          <w:color w:val="000000"/>
          <w:sz w:val="24"/>
          <w:szCs w:val="24"/>
        </w:rPr>
      </w:pPr>
      <w:r w:rsidRPr="007F43F6">
        <w:rPr>
          <w:color w:val="000000"/>
          <w:sz w:val="24"/>
          <w:szCs w:val="24"/>
        </w:rPr>
        <w:t>This review proposes a multidomain framework for future research.</w:t>
      </w:r>
    </w:p>
    <w:p w14:paraId="45C35D13" w14:textId="77777777" w:rsidR="00005D84" w:rsidRPr="007E2FAA" w:rsidRDefault="00005D84" w:rsidP="00005D84">
      <w:pPr>
        <w:spacing w:line="360" w:lineRule="auto"/>
        <w:jc w:val="both"/>
        <w:rPr>
          <w:b/>
          <w:bCs/>
          <w:color w:val="000000"/>
          <w:sz w:val="24"/>
          <w:szCs w:val="24"/>
        </w:rPr>
      </w:pPr>
      <w:r w:rsidRPr="007E2FAA">
        <w:rPr>
          <w:b/>
          <w:bCs/>
          <w:color w:val="000000"/>
          <w:sz w:val="24"/>
          <w:szCs w:val="24"/>
        </w:rPr>
        <w:t>Domain 1: Ayurvedic phenotype</w:t>
      </w:r>
    </w:p>
    <w:p w14:paraId="28870302" w14:textId="533C67F7" w:rsidR="00005D84" w:rsidRPr="007F43F6" w:rsidRDefault="00005D84" w:rsidP="00005D84">
      <w:pPr>
        <w:spacing w:line="360" w:lineRule="auto"/>
        <w:jc w:val="both"/>
        <w:rPr>
          <w:color w:val="000000"/>
          <w:sz w:val="24"/>
          <w:szCs w:val="24"/>
        </w:rPr>
      </w:pPr>
      <w:r w:rsidRPr="007F43F6">
        <w:rPr>
          <w:color w:val="000000"/>
          <w:sz w:val="24"/>
          <w:szCs w:val="24"/>
        </w:rPr>
        <w:t xml:space="preserve">This includes standardized assessment of Hetu/Nidana, Dosha-Dushya involvement, clinical manifestations, </w:t>
      </w:r>
      <w:proofErr w:type="spellStart"/>
      <w:r w:rsidRPr="007F43F6">
        <w:rPr>
          <w:color w:val="000000"/>
          <w:sz w:val="24"/>
          <w:szCs w:val="24"/>
        </w:rPr>
        <w:t>Samprapti</w:t>
      </w:r>
      <w:proofErr w:type="spellEnd"/>
      <w:r w:rsidRPr="007F43F6">
        <w:rPr>
          <w:color w:val="000000"/>
          <w:sz w:val="24"/>
          <w:szCs w:val="24"/>
        </w:rPr>
        <w:t xml:space="preserve">, </w:t>
      </w:r>
      <w:proofErr w:type="spellStart"/>
      <w:r w:rsidRPr="007F43F6">
        <w:rPr>
          <w:color w:val="000000"/>
          <w:sz w:val="24"/>
          <w:szCs w:val="24"/>
        </w:rPr>
        <w:t>Purvarupa</w:t>
      </w:r>
      <w:proofErr w:type="spellEnd"/>
      <w:r w:rsidRPr="007F43F6">
        <w:rPr>
          <w:color w:val="000000"/>
          <w:sz w:val="24"/>
          <w:szCs w:val="24"/>
        </w:rPr>
        <w:t xml:space="preserve">, and type of </w:t>
      </w:r>
      <w:proofErr w:type="spellStart"/>
      <w:r w:rsidRPr="007F43F6">
        <w:rPr>
          <w:color w:val="000000"/>
          <w:sz w:val="24"/>
          <w:szCs w:val="24"/>
        </w:rPr>
        <w:t>Vatarakta</w:t>
      </w:r>
      <w:proofErr w:type="spellEnd"/>
      <w:r w:rsidRPr="007F43F6">
        <w:rPr>
          <w:color w:val="000000"/>
          <w:sz w:val="24"/>
          <w:szCs w:val="24"/>
        </w:rPr>
        <w:t xml:space="preserve">, including </w:t>
      </w:r>
      <w:proofErr w:type="spellStart"/>
      <w:r w:rsidRPr="007F43F6">
        <w:rPr>
          <w:color w:val="000000"/>
          <w:sz w:val="24"/>
          <w:szCs w:val="24"/>
        </w:rPr>
        <w:t>Uttana</w:t>
      </w:r>
      <w:proofErr w:type="spellEnd"/>
      <w:r w:rsidRPr="007F43F6">
        <w:rPr>
          <w:color w:val="000000"/>
          <w:sz w:val="24"/>
          <w:szCs w:val="24"/>
        </w:rPr>
        <w:t xml:space="preserve"> and Gambhira presentations where applicable.</w:t>
      </w:r>
    </w:p>
    <w:p w14:paraId="5E8B32ED" w14:textId="77777777" w:rsidR="00005D84" w:rsidRPr="007E2FAA" w:rsidRDefault="00005D84" w:rsidP="00005D84">
      <w:pPr>
        <w:spacing w:line="360" w:lineRule="auto"/>
        <w:jc w:val="both"/>
        <w:rPr>
          <w:b/>
          <w:bCs/>
          <w:color w:val="000000"/>
          <w:sz w:val="24"/>
          <w:szCs w:val="24"/>
        </w:rPr>
      </w:pPr>
      <w:r w:rsidRPr="007E2FAA">
        <w:rPr>
          <w:b/>
          <w:bCs/>
          <w:color w:val="000000"/>
          <w:sz w:val="24"/>
          <w:szCs w:val="24"/>
        </w:rPr>
        <w:t xml:space="preserve">Domain 2: Clinical phenotype  </w:t>
      </w:r>
    </w:p>
    <w:p w14:paraId="76BC343F" w14:textId="4F6D40A0" w:rsidR="00005D84" w:rsidRPr="007F43F6" w:rsidRDefault="00005D84" w:rsidP="00005D84">
      <w:pPr>
        <w:spacing w:line="360" w:lineRule="auto"/>
        <w:jc w:val="both"/>
        <w:rPr>
          <w:color w:val="000000"/>
          <w:sz w:val="24"/>
          <w:szCs w:val="24"/>
        </w:rPr>
      </w:pPr>
      <w:r w:rsidRPr="007F43F6">
        <w:rPr>
          <w:color w:val="000000"/>
          <w:sz w:val="24"/>
          <w:szCs w:val="24"/>
        </w:rPr>
        <w:t>This includes documentation of joint distribution, pain characteristics, swelling, erythema, warmth or burning sensation, duration of episodes, recurrence, chronicity, and functional impairment.</w:t>
      </w:r>
    </w:p>
    <w:p w14:paraId="2D2D3AA4" w14:textId="77777777" w:rsidR="00005D84" w:rsidRPr="007E2FAA" w:rsidRDefault="00005D84" w:rsidP="00005D84">
      <w:pPr>
        <w:spacing w:line="360" w:lineRule="auto"/>
        <w:jc w:val="both"/>
        <w:rPr>
          <w:b/>
          <w:bCs/>
          <w:color w:val="000000"/>
          <w:sz w:val="24"/>
          <w:szCs w:val="24"/>
        </w:rPr>
      </w:pPr>
      <w:r w:rsidRPr="007E2FAA">
        <w:rPr>
          <w:b/>
          <w:bCs/>
          <w:color w:val="000000"/>
          <w:sz w:val="24"/>
          <w:szCs w:val="24"/>
        </w:rPr>
        <w:t xml:space="preserve">Domain 3: Biomedical evidence  </w:t>
      </w:r>
    </w:p>
    <w:p w14:paraId="3B2F72AE" w14:textId="77777777" w:rsidR="00005D84" w:rsidRPr="007F43F6" w:rsidRDefault="00005D84" w:rsidP="00005D84">
      <w:pPr>
        <w:spacing w:line="360" w:lineRule="auto"/>
        <w:jc w:val="both"/>
        <w:rPr>
          <w:color w:val="000000"/>
          <w:sz w:val="24"/>
          <w:szCs w:val="24"/>
        </w:rPr>
      </w:pPr>
      <w:r w:rsidRPr="007F43F6">
        <w:rPr>
          <w:color w:val="000000"/>
          <w:sz w:val="24"/>
          <w:szCs w:val="24"/>
        </w:rPr>
        <w:t>This includes serum urate, renal function, inflammatory markers, synovial-fluid crystal examination where clinically appropriate, ultrasound, and DECT where indicated.</w:t>
      </w:r>
    </w:p>
    <w:p w14:paraId="264F5388" w14:textId="77777777" w:rsidR="00005D84" w:rsidRPr="001D375B" w:rsidRDefault="00005D84" w:rsidP="00005D84">
      <w:pPr>
        <w:spacing w:line="360" w:lineRule="auto"/>
        <w:jc w:val="both"/>
        <w:rPr>
          <w:b/>
          <w:bCs/>
          <w:color w:val="000000"/>
          <w:sz w:val="24"/>
          <w:szCs w:val="24"/>
        </w:rPr>
      </w:pPr>
      <w:r w:rsidRPr="001D375B">
        <w:rPr>
          <w:b/>
          <w:bCs/>
          <w:color w:val="000000"/>
          <w:sz w:val="24"/>
          <w:szCs w:val="24"/>
        </w:rPr>
        <w:t xml:space="preserve">Independent modern rheumatological assessment  </w:t>
      </w:r>
    </w:p>
    <w:p w14:paraId="4C444579" w14:textId="77777777" w:rsidR="00005D84" w:rsidRPr="007F43F6" w:rsidRDefault="00005D84" w:rsidP="00005D84">
      <w:pPr>
        <w:spacing w:line="360" w:lineRule="auto"/>
        <w:jc w:val="both"/>
        <w:rPr>
          <w:color w:val="000000"/>
          <w:sz w:val="24"/>
          <w:szCs w:val="24"/>
        </w:rPr>
      </w:pPr>
      <w:r w:rsidRPr="007F43F6">
        <w:rPr>
          <w:color w:val="000000"/>
          <w:sz w:val="24"/>
          <w:szCs w:val="24"/>
        </w:rPr>
        <w:t>This includes categorization according to contemporary rheumatological evaluation, with explicit documentation of the evidentiary basis for gout or an alternative diagnosis.</w:t>
      </w:r>
    </w:p>
    <w:p w14:paraId="722A0E38"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This framework is not intended to create a new diagnostic tool. Its purpose is to allow Ayurvedic and biomedical assessments to be performed and </w:t>
      </w:r>
      <w:proofErr w:type="spellStart"/>
      <w:r w:rsidRPr="007F43F6">
        <w:rPr>
          <w:color w:val="000000"/>
          <w:sz w:val="24"/>
          <w:szCs w:val="24"/>
        </w:rPr>
        <w:t>analyzed</w:t>
      </w:r>
      <w:proofErr w:type="spellEnd"/>
      <w:r w:rsidRPr="007F43F6">
        <w:rPr>
          <w:color w:val="000000"/>
          <w:sz w:val="24"/>
          <w:szCs w:val="24"/>
        </w:rPr>
        <w:t xml:space="preserve"> independently, thereby reducing circular reasoning in cross-system disease-correlation studies.</w:t>
      </w:r>
    </w:p>
    <w:p w14:paraId="52705D53" w14:textId="77777777" w:rsidR="00005D84" w:rsidRPr="007E2FAA" w:rsidRDefault="00005D84" w:rsidP="00005D84">
      <w:pPr>
        <w:spacing w:line="360" w:lineRule="auto"/>
        <w:jc w:val="both"/>
        <w:rPr>
          <w:b/>
          <w:bCs/>
          <w:color w:val="000000"/>
          <w:sz w:val="24"/>
          <w:szCs w:val="24"/>
        </w:rPr>
      </w:pPr>
      <w:r w:rsidRPr="007F43F6">
        <w:rPr>
          <w:color w:val="000000"/>
          <w:sz w:val="24"/>
          <w:szCs w:val="24"/>
        </w:rPr>
        <w:t xml:space="preserve"> </w:t>
      </w:r>
      <w:r w:rsidRPr="007E2FAA">
        <w:rPr>
          <w:b/>
          <w:bCs/>
          <w:color w:val="000000"/>
          <w:sz w:val="24"/>
          <w:szCs w:val="24"/>
        </w:rPr>
        <w:t>Discussion</w:t>
      </w:r>
    </w:p>
    <w:p w14:paraId="3BB9110B"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present review shows that the relationship between </w:t>
      </w:r>
      <w:proofErr w:type="spellStart"/>
      <w:r w:rsidRPr="007F43F6">
        <w:rPr>
          <w:color w:val="000000"/>
          <w:sz w:val="24"/>
          <w:szCs w:val="24"/>
        </w:rPr>
        <w:t>Vatarakta</w:t>
      </w:r>
      <w:proofErr w:type="spellEnd"/>
      <w:r w:rsidRPr="007F43F6">
        <w:rPr>
          <w:color w:val="000000"/>
          <w:sz w:val="24"/>
          <w:szCs w:val="24"/>
        </w:rPr>
        <w:t xml:space="preserve"> and gout is strongest at the level of clinical presentation, while the association becomes less certain when biochemical, pathological, and theoretical aspects are considered. Features such as pain, swelling, redness, burning sensation, and involvement of the extremities described in </w:t>
      </w:r>
      <w:proofErr w:type="spellStart"/>
      <w:r w:rsidRPr="007F43F6">
        <w:rPr>
          <w:color w:val="000000"/>
          <w:sz w:val="24"/>
          <w:szCs w:val="24"/>
        </w:rPr>
        <w:t>Vatarakta</w:t>
      </w:r>
      <w:proofErr w:type="spellEnd"/>
      <w:r w:rsidRPr="007F43F6">
        <w:rPr>
          <w:color w:val="000000"/>
          <w:sz w:val="24"/>
          <w:szCs w:val="24"/>
        </w:rPr>
        <w:t xml:space="preserve"> provide a reasonable basis for comparison with gout . However, these clinical features alone do not establish the presence of MSU crystal deposition characteristic of gout.</w:t>
      </w:r>
    </w:p>
    <w:p w14:paraId="45CFAF4F"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This distinction is important because the classical description of </w:t>
      </w:r>
      <w:proofErr w:type="spellStart"/>
      <w:r w:rsidRPr="007F43F6">
        <w:rPr>
          <w:color w:val="000000"/>
          <w:sz w:val="24"/>
          <w:szCs w:val="24"/>
        </w:rPr>
        <w:t>Vatarakta</w:t>
      </w:r>
      <w:proofErr w:type="spellEnd"/>
      <w:r w:rsidRPr="007F43F6">
        <w:rPr>
          <w:color w:val="000000"/>
          <w:sz w:val="24"/>
          <w:szCs w:val="24"/>
        </w:rPr>
        <w:t xml:space="preserve"> was developed within an Ayurvedic framework rather than through contemporary biochemical or pathological definitions. Charaka presents </w:t>
      </w:r>
      <w:proofErr w:type="spellStart"/>
      <w:r w:rsidRPr="007F43F6">
        <w:rPr>
          <w:color w:val="000000"/>
          <w:sz w:val="24"/>
          <w:szCs w:val="24"/>
        </w:rPr>
        <w:t>Vatarakta</w:t>
      </w:r>
      <w:proofErr w:type="spellEnd"/>
      <w:r w:rsidRPr="007F43F6">
        <w:rPr>
          <w:color w:val="000000"/>
          <w:sz w:val="24"/>
          <w:szCs w:val="24"/>
        </w:rPr>
        <w:t xml:space="preserve"> through its Hetu, the interaction between Vata and Rakta, </w:t>
      </w:r>
      <w:proofErr w:type="spellStart"/>
      <w:r w:rsidRPr="007F43F6">
        <w:rPr>
          <w:color w:val="000000"/>
          <w:sz w:val="24"/>
          <w:szCs w:val="24"/>
        </w:rPr>
        <w:t>Samprapti</w:t>
      </w:r>
      <w:proofErr w:type="spellEnd"/>
      <w:r w:rsidRPr="007F43F6">
        <w:rPr>
          <w:color w:val="000000"/>
          <w:sz w:val="24"/>
          <w:szCs w:val="24"/>
        </w:rPr>
        <w:t xml:space="preserve">, </w:t>
      </w:r>
      <w:proofErr w:type="spellStart"/>
      <w:r w:rsidRPr="007F43F6">
        <w:rPr>
          <w:color w:val="000000"/>
          <w:sz w:val="24"/>
          <w:szCs w:val="24"/>
        </w:rPr>
        <w:t>Purvarupa</w:t>
      </w:r>
      <w:proofErr w:type="spellEnd"/>
      <w:r w:rsidRPr="007F43F6">
        <w:rPr>
          <w:color w:val="000000"/>
          <w:sz w:val="24"/>
          <w:szCs w:val="24"/>
        </w:rPr>
        <w:t xml:space="preserve">, and different clinical forms . </w:t>
      </w:r>
      <w:proofErr w:type="spellStart"/>
      <w:r w:rsidRPr="007F43F6">
        <w:rPr>
          <w:color w:val="000000"/>
          <w:sz w:val="24"/>
          <w:szCs w:val="24"/>
        </w:rPr>
        <w:t>Vatarakta</w:t>
      </w:r>
      <w:proofErr w:type="spellEnd"/>
      <w:r w:rsidRPr="007F43F6">
        <w:rPr>
          <w:color w:val="000000"/>
          <w:sz w:val="24"/>
          <w:szCs w:val="24"/>
        </w:rPr>
        <w:t xml:space="preserve"> therefore cannot be reduced to a single biochemical abnormality. Descriptions in Sushruta and later Ayurvedic texts further show the continuity of </w:t>
      </w:r>
      <w:proofErr w:type="spellStart"/>
      <w:r w:rsidRPr="007F43F6">
        <w:rPr>
          <w:color w:val="000000"/>
          <w:sz w:val="24"/>
          <w:szCs w:val="24"/>
        </w:rPr>
        <w:t>Vatarakta</w:t>
      </w:r>
      <w:proofErr w:type="spellEnd"/>
      <w:r w:rsidRPr="007F43F6">
        <w:rPr>
          <w:color w:val="000000"/>
          <w:sz w:val="24"/>
          <w:szCs w:val="24"/>
        </w:rPr>
        <w:t xml:space="preserve"> as a recognizable disease construct within the Ayurvedic tradition .</w:t>
      </w:r>
    </w:p>
    <w:p w14:paraId="4B853B25" w14:textId="77777777" w:rsidR="00005D84" w:rsidRPr="007F43F6" w:rsidRDefault="00005D84" w:rsidP="00005D84">
      <w:pPr>
        <w:spacing w:line="360" w:lineRule="auto"/>
        <w:jc w:val="both"/>
        <w:rPr>
          <w:color w:val="000000"/>
          <w:sz w:val="24"/>
          <w:szCs w:val="24"/>
        </w:rPr>
      </w:pPr>
    </w:p>
    <w:p w14:paraId="513AE54A"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Modern gout, in contrast, is characterized by urate supersaturation and MSU crystal formation and deposition. Hyperuricemia has an important role in this process but does not by itself establish symptomatic gout. This distinction is particularly relevant to clinical research on </w:t>
      </w:r>
      <w:proofErr w:type="spellStart"/>
      <w:r w:rsidRPr="007F43F6">
        <w:rPr>
          <w:color w:val="000000"/>
          <w:sz w:val="24"/>
          <w:szCs w:val="24"/>
        </w:rPr>
        <w:t>Vatarakta</w:t>
      </w:r>
      <w:proofErr w:type="spellEnd"/>
      <w:r w:rsidRPr="007F43F6">
        <w:rPr>
          <w:color w:val="000000"/>
          <w:sz w:val="24"/>
          <w:szCs w:val="24"/>
        </w:rPr>
        <w:t>, where serum urate has been used alongside clinical outcomes to assess response to Ayurvedic interventions. Such studies provide useful clinical and biochemical observations, but a reduction in serum urate should not by itself be interpreted as evidence that every enrolled patient had gout or that MSU crystal deposits were eliminated.</w:t>
      </w:r>
    </w:p>
    <w:p w14:paraId="5B7B2278" w14:textId="77777777" w:rsidR="00005D84" w:rsidRPr="007F43F6" w:rsidRDefault="00005D84" w:rsidP="00005D84">
      <w:pPr>
        <w:spacing w:line="360" w:lineRule="auto"/>
        <w:jc w:val="both"/>
        <w:rPr>
          <w:color w:val="000000"/>
          <w:sz w:val="24"/>
          <w:szCs w:val="24"/>
        </w:rPr>
      </w:pPr>
      <w:r w:rsidRPr="007F43F6">
        <w:rPr>
          <w:color w:val="000000"/>
          <w:sz w:val="24"/>
          <w:szCs w:val="24"/>
        </w:rPr>
        <w:t>The distinction between gout classification and clinical diagnosis is also important. Under the 2015 ACR/EULAR classification criteria, identification of MSU crystals in synovial fluid from a symptomatic joint or bursa, or in a tophus, is sufficient for classification as gout . In the absence of demonstrated crystals, clinical, laboratory, and imaging findings contribute to the classification score. EULAR diagnostic recommendations separately emphasize crystal identification in suspected gout where feasible and caution against diagnosing gout solely on the basis of hyperuricemia.</w:t>
      </w:r>
    </w:p>
    <w:p w14:paraId="1DE64697"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Imaging may provide an additional means of strengthening cross-system research. Ultrasound and DECT can provide objective evidence relevant to urate deposition and have established roles in the assessment of crystal-induced arthropathies. Their use could help determine whether particular </w:t>
      </w:r>
      <w:proofErr w:type="spellStart"/>
      <w:r w:rsidRPr="007F43F6">
        <w:rPr>
          <w:color w:val="000000"/>
          <w:sz w:val="24"/>
          <w:szCs w:val="24"/>
        </w:rPr>
        <w:t>Vatarakta</w:t>
      </w:r>
      <w:proofErr w:type="spellEnd"/>
      <w:r w:rsidRPr="007F43F6">
        <w:rPr>
          <w:color w:val="000000"/>
          <w:sz w:val="24"/>
          <w:szCs w:val="24"/>
        </w:rPr>
        <w:t xml:space="preserve"> phenotypes are associated with objectively detectable urate deposits. Imaging findings nevertheless require careful interpretation because diagnostic performance may vary according to disease duration, anatomical site, crystal burden, and technical factors. Imaging should therefore complement appropriate clinical and crystal assessment rather than being considered a universal substitute for direct crystal identification.</w:t>
      </w:r>
    </w:p>
    <w:p w14:paraId="262EBF09"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Comparison of Ayurvedic pathogenesis with contemporary biomedical mechanisms requires particular caution. </w:t>
      </w:r>
      <w:proofErr w:type="spellStart"/>
      <w:r w:rsidRPr="007F43F6">
        <w:rPr>
          <w:color w:val="000000"/>
          <w:sz w:val="24"/>
          <w:szCs w:val="24"/>
        </w:rPr>
        <w:t>Avarana</w:t>
      </w:r>
      <w:proofErr w:type="spellEnd"/>
      <w:r w:rsidRPr="007F43F6">
        <w:rPr>
          <w:color w:val="000000"/>
          <w:sz w:val="24"/>
          <w:szCs w:val="24"/>
        </w:rPr>
        <w:t xml:space="preserve"> provides an explanatory concept for </w:t>
      </w:r>
      <w:proofErr w:type="spellStart"/>
      <w:r w:rsidRPr="007F43F6">
        <w:rPr>
          <w:color w:val="000000"/>
          <w:sz w:val="24"/>
          <w:szCs w:val="24"/>
        </w:rPr>
        <w:t>Vatarakta</w:t>
      </w:r>
      <w:proofErr w:type="spellEnd"/>
      <w:r w:rsidRPr="007F43F6">
        <w:rPr>
          <w:color w:val="000000"/>
          <w:sz w:val="24"/>
          <w:szCs w:val="24"/>
        </w:rPr>
        <w:t xml:space="preserve"> within Ayurveda, but directly equating it with MSU crystal deposition, microvascular obstruction, inflammasome activation, or another specific biomedical mechanism is not currently supported by evidence. Conceptual similarities can generate testable hypotheses, but they cannot establish biological equivalence. Future studies could investigate whether predefined </w:t>
      </w:r>
      <w:proofErr w:type="spellStart"/>
      <w:r w:rsidRPr="007F43F6">
        <w:rPr>
          <w:color w:val="000000"/>
          <w:sz w:val="24"/>
          <w:szCs w:val="24"/>
        </w:rPr>
        <w:t>Avarana</w:t>
      </w:r>
      <w:proofErr w:type="spellEnd"/>
      <w:r w:rsidRPr="007F43F6">
        <w:rPr>
          <w:color w:val="000000"/>
          <w:sz w:val="24"/>
          <w:szCs w:val="24"/>
        </w:rPr>
        <w:t>-related characteristics demonstrate reproducible associations with inflammatory markers, imaging findings, or crystal burden without assuming such relationships beforehand.</w:t>
      </w:r>
    </w:p>
    <w:p w14:paraId="6A638E3D"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classical distinction between </w:t>
      </w:r>
      <w:proofErr w:type="spellStart"/>
      <w:r w:rsidRPr="007F43F6">
        <w:rPr>
          <w:color w:val="000000"/>
          <w:sz w:val="24"/>
          <w:szCs w:val="24"/>
        </w:rPr>
        <w:t>Uttana</w:t>
      </w:r>
      <w:proofErr w:type="spellEnd"/>
      <w:r w:rsidRPr="007F43F6">
        <w:rPr>
          <w:color w:val="000000"/>
          <w:sz w:val="24"/>
          <w:szCs w:val="24"/>
        </w:rPr>
        <w:t xml:space="preserve"> and Gambhira </w:t>
      </w:r>
      <w:proofErr w:type="spellStart"/>
      <w:r w:rsidRPr="007F43F6">
        <w:rPr>
          <w:color w:val="000000"/>
          <w:sz w:val="24"/>
          <w:szCs w:val="24"/>
        </w:rPr>
        <w:t>Vatarakta</w:t>
      </w:r>
      <w:proofErr w:type="spellEnd"/>
      <w:r w:rsidRPr="007F43F6">
        <w:rPr>
          <w:color w:val="000000"/>
          <w:sz w:val="24"/>
          <w:szCs w:val="24"/>
        </w:rPr>
        <w:t xml:space="preserve"> also warrants investigation. These categories may identify clinically meaningful subgroups, but current evidence is insufficient to equate them directly with acute gout, chronic tophaceous gout, superficial </w:t>
      </w:r>
      <w:r w:rsidRPr="007F43F6">
        <w:rPr>
          <w:color w:val="000000"/>
          <w:sz w:val="24"/>
          <w:szCs w:val="24"/>
        </w:rPr>
        <w:lastRenderedPageBreak/>
        <w:t xml:space="preserve">inflammation, or structural joint disease. Assigning such biomedical equivalents before validation would reproduce the same methodological problem that arises when </w:t>
      </w:r>
      <w:proofErr w:type="spellStart"/>
      <w:r w:rsidRPr="007F43F6">
        <w:rPr>
          <w:color w:val="000000"/>
          <w:sz w:val="24"/>
          <w:szCs w:val="24"/>
        </w:rPr>
        <w:t>Vatarakta</w:t>
      </w:r>
      <w:proofErr w:type="spellEnd"/>
      <w:r w:rsidRPr="007F43F6">
        <w:rPr>
          <w:color w:val="000000"/>
          <w:sz w:val="24"/>
          <w:szCs w:val="24"/>
        </w:rPr>
        <w:t xml:space="preserve"> as a whole is assumed to be synonymous with gout.</w:t>
      </w:r>
    </w:p>
    <w:p w14:paraId="0854AF6D"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Differential diagnosis represents another important consideration. Painful, swollen, erythematous joints are not exclusive to gout. CPPD disease can present as an acute inflammatory arthritis that resembles gout . Other inflammatory, infectious, and degenerative arthropathies may also need to be considered according to the pattern of presentation. An Ayurvedic diagnosis of </w:t>
      </w:r>
      <w:proofErr w:type="spellStart"/>
      <w:r w:rsidRPr="007F43F6">
        <w:rPr>
          <w:color w:val="000000"/>
          <w:sz w:val="24"/>
          <w:szCs w:val="24"/>
        </w:rPr>
        <w:t>Vatarakta</w:t>
      </w:r>
      <w:proofErr w:type="spellEnd"/>
      <w:r w:rsidRPr="007F43F6">
        <w:rPr>
          <w:color w:val="000000"/>
          <w:sz w:val="24"/>
          <w:szCs w:val="24"/>
        </w:rPr>
        <w:t xml:space="preserve"> should therefore not predetermine the subsequent modern rheumatological diagnosis. Conversely, demonstration of gout does not establish that every component of the Ayurvedic pathogenesis of </w:t>
      </w:r>
      <w:proofErr w:type="spellStart"/>
      <w:r w:rsidRPr="007F43F6">
        <w:rPr>
          <w:color w:val="000000"/>
          <w:sz w:val="24"/>
          <w:szCs w:val="24"/>
        </w:rPr>
        <w:t>Vatarakta</w:t>
      </w:r>
      <w:proofErr w:type="spellEnd"/>
      <w:r w:rsidRPr="007F43F6">
        <w:rPr>
          <w:color w:val="000000"/>
          <w:sz w:val="24"/>
          <w:szCs w:val="24"/>
        </w:rPr>
        <w:t xml:space="preserve"> has a corresponding biomedical mechanism. Independent assessment allows the relationship between the two systems to be examined rather than assumed.</w:t>
      </w:r>
    </w:p>
    <w:p w14:paraId="33DAA657"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The multidomain framework proposed in this review separates Ayurvedic phenotype, clinical characteristics, objective biomedical findings, and independent modern rheumatological assessment. It is intended as a research framework rather than a diagnostic instrument, and its usefulness will depend on prospective validation. One approach would be to characterize participants using predefined </w:t>
      </w:r>
      <w:proofErr w:type="spellStart"/>
      <w:r w:rsidRPr="007F43F6">
        <w:rPr>
          <w:color w:val="000000"/>
          <w:sz w:val="24"/>
          <w:szCs w:val="24"/>
        </w:rPr>
        <w:t>Vatarakta</w:t>
      </w:r>
      <w:proofErr w:type="spellEnd"/>
      <w:r w:rsidRPr="007F43F6">
        <w:rPr>
          <w:color w:val="000000"/>
          <w:sz w:val="24"/>
          <w:szCs w:val="24"/>
        </w:rPr>
        <w:t xml:space="preserve"> criteria followed by an independent, and where feasible blinded, rheumatological assessment. The proportion of participants with crystal-confirmed or otherwise well-supported gout could then be determined, and individual Ayurvedic characteristics could be examined for associations with serum urate, crystal deposition, imaging findings, flare characteristics, and disease burden.</w:t>
      </w:r>
    </w:p>
    <w:p w14:paraId="662C24DB"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Taken together, the available evidence supports gout as an important modern correlate of </w:t>
      </w:r>
      <w:proofErr w:type="spellStart"/>
      <w:r w:rsidRPr="007F43F6">
        <w:rPr>
          <w:color w:val="000000"/>
          <w:sz w:val="24"/>
          <w:szCs w:val="24"/>
        </w:rPr>
        <w:t>Vatarakta</w:t>
      </w:r>
      <w:proofErr w:type="spellEnd"/>
      <w:r w:rsidRPr="007F43F6">
        <w:rPr>
          <w:color w:val="000000"/>
          <w:sz w:val="24"/>
          <w:szCs w:val="24"/>
        </w:rPr>
        <w:t xml:space="preserve"> but does not establish one-to-one equivalence between the two constructs. This distinction has practical consequences for participant selection, outcome measurement, interpretation of serum urate, and evaluation of therapeutic outcomes in integrative clinical research.</w:t>
      </w:r>
    </w:p>
    <w:p w14:paraId="468EC9D0" w14:textId="77777777" w:rsidR="00005D84" w:rsidRPr="007F43F6" w:rsidRDefault="00005D84" w:rsidP="00005D84">
      <w:pPr>
        <w:spacing w:line="360" w:lineRule="auto"/>
        <w:jc w:val="both"/>
        <w:rPr>
          <w:color w:val="000000"/>
          <w:sz w:val="24"/>
          <w:szCs w:val="24"/>
        </w:rPr>
      </w:pPr>
    </w:p>
    <w:p w14:paraId="6EE10BBF" w14:textId="77777777" w:rsidR="00005D84" w:rsidRPr="001D375B" w:rsidRDefault="00005D84" w:rsidP="00005D84">
      <w:pPr>
        <w:spacing w:line="360" w:lineRule="auto"/>
        <w:jc w:val="both"/>
        <w:rPr>
          <w:b/>
          <w:bCs/>
          <w:color w:val="000000"/>
          <w:sz w:val="24"/>
          <w:szCs w:val="24"/>
        </w:rPr>
      </w:pPr>
      <w:r w:rsidRPr="001D375B">
        <w:rPr>
          <w:b/>
          <w:bCs/>
          <w:color w:val="000000"/>
          <w:sz w:val="24"/>
          <w:szCs w:val="24"/>
        </w:rPr>
        <w:t>Implications for Previous and Future Research</w:t>
      </w:r>
    </w:p>
    <w:p w14:paraId="4A8CA0C3" w14:textId="77777777" w:rsidR="00005D84" w:rsidRPr="007F43F6" w:rsidRDefault="00005D84" w:rsidP="00005D84">
      <w:pPr>
        <w:spacing w:line="360" w:lineRule="auto"/>
        <w:jc w:val="both"/>
        <w:rPr>
          <w:color w:val="000000"/>
          <w:sz w:val="24"/>
          <w:szCs w:val="24"/>
        </w:rPr>
      </w:pPr>
    </w:p>
    <w:p w14:paraId="100034C8"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Existing literature shows that comparison between </w:t>
      </w:r>
      <w:proofErr w:type="spellStart"/>
      <w:r w:rsidRPr="007F43F6">
        <w:rPr>
          <w:color w:val="000000"/>
          <w:sz w:val="24"/>
          <w:szCs w:val="24"/>
        </w:rPr>
        <w:t>Vatarakta</w:t>
      </w:r>
      <w:proofErr w:type="spellEnd"/>
      <w:r w:rsidRPr="007F43F6">
        <w:rPr>
          <w:color w:val="000000"/>
          <w:sz w:val="24"/>
          <w:szCs w:val="24"/>
        </w:rPr>
        <w:t xml:space="preserve"> and gout is an active area of Ayurvedic scholarship. However, future work should move beyond repeated conceptual comparison and test the relationship prospectively.</w:t>
      </w:r>
    </w:p>
    <w:p w14:paraId="50EC626E" w14:textId="2D55286C" w:rsidR="00005D84" w:rsidRPr="007F43F6" w:rsidRDefault="00005D84" w:rsidP="00005D84">
      <w:pPr>
        <w:spacing w:line="360" w:lineRule="auto"/>
        <w:jc w:val="both"/>
        <w:rPr>
          <w:color w:val="000000"/>
          <w:sz w:val="24"/>
          <w:szCs w:val="24"/>
        </w:rPr>
      </w:pPr>
      <w:r w:rsidRPr="007F43F6">
        <w:rPr>
          <w:color w:val="000000"/>
          <w:sz w:val="24"/>
          <w:szCs w:val="24"/>
        </w:rPr>
        <w:t xml:space="preserve">A prospective observational study could first identify participants using predefined and reproducible Ayurvedic criteria for </w:t>
      </w:r>
      <w:proofErr w:type="spellStart"/>
      <w:r w:rsidRPr="007F43F6">
        <w:rPr>
          <w:color w:val="000000"/>
          <w:sz w:val="24"/>
          <w:szCs w:val="24"/>
        </w:rPr>
        <w:t>Vatarakta</w:t>
      </w:r>
      <w:proofErr w:type="spellEnd"/>
      <w:r w:rsidRPr="007F43F6">
        <w:rPr>
          <w:color w:val="000000"/>
          <w:sz w:val="24"/>
          <w:szCs w:val="24"/>
        </w:rPr>
        <w:t xml:space="preserve">. A separate modern rheumatological assessment </w:t>
      </w:r>
      <w:r w:rsidRPr="007F43F6">
        <w:rPr>
          <w:color w:val="000000"/>
          <w:sz w:val="24"/>
          <w:szCs w:val="24"/>
        </w:rPr>
        <w:lastRenderedPageBreak/>
        <w:t>could then evaluate serum urate, renal function, inflammatory markers, imaging findings, and MSU crystals where clinically appropriate.</w:t>
      </w:r>
    </w:p>
    <w:p w14:paraId="1788EEC1" w14:textId="77777777" w:rsidR="00005D84" w:rsidRPr="007F43F6" w:rsidRDefault="00005D84" w:rsidP="00005D84">
      <w:pPr>
        <w:spacing w:line="360" w:lineRule="auto"/>
        <w:jc w:val="both"/>
        <w:rPr>
          <w:color w:val="000000"/>
          <w:sz w:val="24"/>
          <w:szCs w:val="24"/>
        </w:rPr>
      </w:pPr>
      <w:r w:rsidRPr="007F43F6">
        <w:rPr>
          <w:color w:val="000000"/>
          <w:sz w:val="24"/>
          <w:szCs w:val="24"/>
        </w:rPr>
        <w:t>The primary research question could be:</w:t>
      </w:r>
    </w:p>
    <w:p w14:paraId="7B3C1EF4"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What proportion of patients satisfying predefined Ayurvedic criteria for </w:t>
      </w:r>
      <w:proofErr w:type="spellStart"/>
      <w:r w:rsidRPr="007F43F6">
        <w:rPr>
          <w:color w:val="000000"/>
          <w:sz w:val="24"/>
          <w:szCs w:val="24"/>
        </w:rPr>
        <w:t>Vatarakta</w:t>
      </w:r>
      <w:proofErr w:type="spellEnd"/>
      <w:r w:rsidRPr="007F43F6">
        <w:rPr>
          <w:color w:val="000000"/>
          <w:sz w:val="24"/>
          <w:szCs w:val="24"/>
        </w:rPr>
        <w:t xml:space="preserve"> have independently established gout?</w:t>
      </w:r>
    </w:p>
    <w:p w14:paraId="5AFCAFD7" w14:textId="36FC7919" w:rsidR="00005D84" w:rsidRPr="007F43F6" w:rsidRDefault="00005D84" w:rsidP="00005D84">
      <w:pPr>
        <w:spacing w:line="360" w:lineRule="auto"/>
        <w:jc w:val="both"/>
        <w:rPr>
          <w:color w:val="000000"/>
          <w:sz w:val="24"/>
          <w:szCs w:val="24"/>
        </w:rPr>
      </w:pPr>
      <w:r w:rsidRPr="007F43F6">
        <w:rPr>
          <w:color w:val="000000"/>
          <w:sz w:val="24"/>
          <w:szCs w:val="24"/>
        </w:rPr>
        <w:t xml:space="preserve">Subsequent studies could examine whether specific Ayurvedic features are associated with MSU crystal deposition, imaging-defined crystal burden, flare frequency, or clinical severity. Research should also examine the inter-rater reliability of </w:t>
      </w:r>
      <w:proofErr w:type="spellStart"/>
      <w:r w:rsidRPr="007F43F6">
        <w:rPr>
          <w:color w:val="000000"/>
          <w:sz w:val="24"/>
          <w:szCs w:val="24"/>
        </w:rPr>
        <w:t>Vatarakta</w:t>
      </w:r>
      <w:proofErr w:type="spellEnd"/>
      <w:r w:rsidRPr="007F43F6">
        <w:rPr>
          <w:color w:val="000000"/>
          <w:sz w:val="24"/>
          <w:szCs w:val="24"/>
        </w:rPr>
        <w:t xml:space="preserve"> diagnosis, because reproducible Ayurvedic phenotyping is essential for meaningful cross-system validation.</w:t>
      </w:r>
    </w:p>
    <w:p w14:paraId="2AF2A8C4" w14:textId="77777777" w:rsidR="00005D84" w:rsidRPr="001D375B" w:rsidRDefault="00005D84" w:rsidP="00005D84">
      <w:pPr>
        <w:spacing w:line="360" w:lineRule="auto"/>
        <w:jc w:val="both"/>
        <w:rPr>
          <w:b/>
          <w:bCs/>
          <w:color w:val="000000"/>
          <w:sz w:val="24"/>
          <w:szCs w:val="24"/>
        </w:rPr>
      </w:pPr>
      <w:r w:rsidRPr="001D375B">
        <w:rPr>
          <w:b/>
          <w:bCs/>
          <w:color w:val="000000"/>
          <w:sz w:val="24"/>
          <w:szCs w:val="24"/>
        </w:rPr>
        <w:t>Limitations</w:t>
      </w:r>
    </w:p>
    <w:p w14:paraId="3A4142FE" w14:textId="77777777" w:rsidR="00005D84" w:rsidRPr="007F43F6" w:rsidRDefault="00005D84" w:rsidP="00005D84">
      <w:pPr>
        <w:spacing w:line="360" w:lineRule="auto"/>
        <w:jc w:val="both"/>
        <w:rPr>
          <w:color w:val="000000"/>
          <w:sz w:val="24"/>
          <w:szCs w:val="24"/>
        </w:rPr>
      </w:pPr>
      <w:r w:rsidRPr="007F43F6">
        <w:rPr>
          <w:color w:val="000000"/>
          <w:sz w:val="24"/>
          <w:szCs w:val="24"/>
        </w:rPr>
        <w:t>This review has several limitations. It is narrative and non-systematic; therefore, it does not claim exhaustive retrieval of all relevant literature. Formal risk-of-bias assessment and quantitative synthesis were not performed.</w:t>
      </w:r>
    </w:p>
    <w:p w14:paraId="74B3D14D" w14:textId="77777777" w:rsidR="00005D84" w:rsidRPr="007F43F6" w:rsidRDefault="00005D84" w:rsidP="00005D84">
      <w:pPr>
        <w:spacing w:line="360" w:lineRule="auto"/>
        <w:jc w:val="both"/>
        <w:rPr>
          <w:color w:val="000000"/>
          <w:sz w:val="24"/>
          <w:szCs w:val="24"/>
        </w:rPr>
      </w:pPr>
      <w:r w:rsidRPr="007F43F6">
        <w:rPr>
          <w:color w:val="000000"/>
          <w:sz w:val="24"/>
          <w:szCs w:val="24"/>
        </w:rPr>
        <w:t>The available Ayurvedic literature is heterogeneous and includes classical interpretations, conceptual reviews, and clinical studies with differing methodologies. This limits the strength of conclusions that can be drawn about diagnostic correlation.</w:t>
      </w:r>
    </w:p>
    <w:p w14:paraId="31717EAB" w14:textId="77777777" w:rsidR="00005D84" w:rsidRPr="007F43F6" w:rsidRDefault="00005D84" w:rsidP="00005D84">
      <w:pPr>
        <w:spacing w:line="360" w:lineRule="auto"/>
        <w:jc w:val="both"/>
        <w:rPr>
          <w:color w:val="000000"/>
          <w:sz w:val="24"/>
          <w:szCs w:val="24"/>
        </w:rPr>
      </w:pPr>
      <w:r w:rsidRPr="007F43F6">
        <w:rPr>
          <w:color w:val="000000"/>
          <w:sz w:val="24"/>
          <w:szCs w:val="24"/>
        </w:rPr>
        <w:t>Interpretation of classical Ayurvedic terminology may vary according to text, commentary, edition, and translation. For this reason, classical citations should be verified against the specific editions used.</w:t>
      </w:r>
    </w:p>
    <w:p w14:paraId="4BFE9524" w14:textId="0EBE80F6" w:rsidR="00005D84" w:rsidRPr="007F43F6" w:rsidRDefault="00005D84" w:rsidP="00005D84">
      <w:pPr>
        <w:spacing w:line="360" w:lineRule="auto"/>
        <w:jc w:val="both"/>
        <w:rPr>
          <w:color w:val="000000"/>
          <w:sz w:val="24"/>
          <w:szCs w:val="24"/>
        </w:rPr>
      </w:pPr>
      <w:r w:rsidRPr="007F43F6">
        <w:rPr>
          <w:color w:val="000000"/>
          <w:sz w:val="24"/>
          <w:szCs w:val="24"/>
        </w:rPr>
        <w:t>Finally, the proposed multidomain framework is conceptual. It has not been prospectively validated and should not be interpreted as a diagnostic, classification, or clinical decision-making tool.</w:t>
      </w:r>
    </w:p>
    <w:p w14:paraId="00AC75A7" w14:textId="77777777" w:rsidR="00005D84" w:rsidRPr="001D375B" w:rsidRDefault="00005D84" w:rsidP="00005D84">
      <w:pPr>
        <w:spacing w:line="360" w:lineRule="auto"/>
        <w:jc w:val="both"/>
        <w:rPr>
          <w:b/>
          <w:bCs/>
          <w:color w:val="000000"/>
          <w:sz w:val="24"/>
          <w:szCs w:val="24"/>
        </w:rPr>
      </w:pPr>
      <w:r w:rsidRPr="001D375B">
        <w:rPr>
          <w:b/>
          <w:bCs/>
          <w:color w:val="000000"/>
          <w:sz w:val="24"/>
          <w:szCs w:val="24"/>
        </w:rPr>
        <w:t>Conclusion</w:t>
      </w:r>
    </w:p>
    <w:p w14:paraId="732A2689" w14:textId="77777777" w:rsidR="00005D84" w:rsidRPr="007F43F6" w:rsidRDefault="00005D84" w:rsidP="00005D84">
      <w:pPr>
        <w:spacing w:line="360" w:lineRule="auto"/>
        <w:jc w:val="both"/>
        <w:rPr>
          <w:color w:val="000000"/>
          <w:sz w:val="24"/>
          <w:szCs w:val="24"/>
        </w:rPr>
      </w:pPr>
      <w:proofErr w:type="spellStart"/>
      <w:r w:rsidRPr="007F43F6">
        <w:rPr>
          <w:color w:val="000000"/>
          <w:sz w:val="24"/>
          <w:szCs w:val="24"/>
        </w:rPr>
        <w:t>Vatarakta</w:t>
      </w:r>
      <w:proofErr w:type="spellEnd"/>
      <w:r w:rsidRPr="007F43F6">
        <w:rPr>
          <w:color w:val="000000"/>
          <w:sz w:val="24"/>
          <w:szCs w:val="24"/>
        </w:rPr>
        <w:t xml:space="preserve"> and gout demonstrate substantial phenotypic overlap, particularly in painful inflammatory manifestations affecting peripheral joints. This supports the continued investigation of gout as an important modern correlate of </w:t>
      </w:r>
      <w:proofErr w:type="spellStart"/>
      <w:r w:rsidRPr="007F43F6">
        <w:rPr>
          <w:color w:val="000000"/>
          <w:sz w:val="24"/>
          <w:szCs w:val="24"/>
        </w:rPr>
        <w:t>Vatarakta</w:t>
      </w:r>
      <w:proofErr w:type="spellEnd"/>
      <w:r w:rsidRPr="007F43F6">
        <w:rPr>
          <w:color w:val="000000"/>
          <w:sz w:val="24"/>
          <w:szCs w:val="24"/>
        </w:rPr>
        <w:t>.</w:t>
      </w:r>
    </w:p>
    <w:p w14:paraId="33154FAE" w14:textId="77777777" w:rsidR="00005D84" w:rsidRPr="007F43F6" w:rsidRDefault="00005D84" w:rsidP="00005D84">
      <w:pPr>
        <w:spacing w:line="360" w:lineRule="auto"/>
        <w:jc w:val="both"/>
        <w:rPr>
          <w:color w:val="000000"/>
          <w:sz w:val="24"/>
          <w:szCs w:val="24"/>
        </w:rPr>
      </w:pPr>
      <w:r w:rsidRPr="007F43F6">
        <w:rPr>
          <w:color w:val="000000"/>
          <w:sz w:val="24"/>
          <w:szCs w:val="24"/>
        </w:rPr>
        <w:t xml:space="preserve">However, current evidence does not justify treating the two constructs as universally synonymous. Hyperuricemia alone is insufficient to establish gout, whereas identification of MSU crystals provides direct evidence of urate crystal deposition. Similarly, Ayurvedic concepts such as Vata-Rakta interaction and </w:t>
      </w:r>
      <w:proofErr w:type="spellStart"/>
      <w:r w:rsidRPr="007F43F6">
        <w:rPr>
          <w:color w:val="000000"/>
          <w:sz w:val="24"/>
          <w:szCs w:val="24"/>
        </w:rPr>
        <w:t>Avarana</w:t>
      </w:r>
      <w:proofErr w:type="spellEnd"/>
      <w:r w:rsidRPr="007F43F6">
        <w:rPr>
          <w:color w:val="000000"/>
          <w:sz w:val="24"/>
          <w:szCs w:val="24"/>
        </w:rPr>
        <w:t xml:space="preserve"> should not be assigned specific biomedical equivalents without empirical validation.</w:t>
      </w:r>
    </w:p>
    <w:p w14:paraId="3DEDCBCC" w14:textId="31745CE1" w:rsidR="00F5295C" w:rsidRPr="007F43F6" w:rsidRDefault="00005D84" w:rsidP="003D33A6">
      <w:pPr>
        <w:spacing w:line="360" w:lineRule="auto"/>
        <w:jc w:val="both"/>
        <w:rPr>
          <w:color w:val="000000"/>
          <w:sz w:val="24"/>
          <w:szCs w:val="24"/>
        </w:rPr>
      </w:pPr>
      <w:r w:rsidRPr="007F43F6">
        <w:rPr>
          <w:color w:val="000000"/>
          <w:sz w:val="24"/>
          <w:szCs w:val="24"/>
        </w:rPr>
        <w:t xml:space="preserve">A multidomain approach in which Ayurvedic phenotyping and modern rheumatological assessment if conducted independently may provide a more rigorous basis for evaluating the relationship. Future prospective studies incorporating standardized </w:t>
      </w:r>
      <w:proofErr w:type="spellStart"/>
      <w:r w:rsidRPr="007F43F6">
        <w:rPr>
          <w:color w:val="000000"/>
          <w:sz w:val="24"/>
          <w:szCs w:val="24"/>
        </w:rPr>
        <w:t>Vatarakta</w:t>
      </w:r>
      <w:proofErr w:type="spellEnd"/>
      <w:r w:rsidRPr="007F43F6">
        <w:rPr>
          <w:color w:val="000000"/>
          <w:sz w:val="24"/>
          <w:szCs w:val="24"/>
        </w:rPr>
        <w:t xml:space="preserve"> characterization, </w:t>
      </w:r>
      <w:r w:rsidRPr="007F43F6">
        <w:rPr>
          <w:color w:val="000000"/>
          <w:sz w:val="24"/>
          <w:szCs w:val="24"/>
        </w:rPr>
        <w:lastRenderedPageBreak/>
        <w:t>contemporary rheumatological assessment, crystal examination where clinically appropriate, and validated imaging methods are</w:t>
      </w:r>
      <w:r w:rsidR="003D5CAB">
        <w:rPr>
          <w:color w:val="000000"/>
          <w:sz w:val="24"/>
          <w:szCs w:val="24"/>
        </w:rPr>
        <w:t xml:space="preserve"> </w:t>
      </w:r>
      <w:r w:rsidRPr="007F43F6">
        <w:rPr>
          <w:color w:val="000000"/>
          <w:sz w:val="24"/>
          <w:szCs w:val="24"/>
        </w:rPr>
        <w:t xml:space="preserve">required to determine which </w:t>
      </w:r>
      <w:proofErr w:type="spellStart"/>
      <w:r w:rsidRPr="007F43F6">
        <w:rPr>
          <w:color w:val="000000"/>
          <w:sz w:val="24"/>
          <w:szCs w:val="24"/>
        </w:rPr>
        <w:t>Vatarakta</w:t>
      </w:r>
      <w:proofErr w:type="spellEnd"/>
      <w:r w:rsidRPr="007F43F6">
        <w:rPr>
          <w:color w:val="000000"/>
          <w:sz w:val="24"/>
          <w:szCs w:val="24"/>
        </w:rPr>
        <w:t xml:space="preserve"> phenotypes correspond to objectively established gout and which do not. Clinical research work should be planned for establishment of VATARAKTA- GOUT correlation.</w:t>
      </w:r>
    </w:p>
    <w:p w14:paraId="73B40B67" w14:textId="77777777" w:rsidR="00691B98" w:rsidRPr="007F43F6" w:rsidRDefault="00691B98" w:rsidP="003D33A6">
      <w:pPr>
        <w:jc w:val="both"/>
        <w:rPr>
          <w:color w:val="000000"/>
          <w:sz w:val="24"/>
          <w:szCs w:val="24"/>
        </w:rPr>
      </w:pPr>
    </w:p>
    <w:p w14:paraId="7B4C2734" w14:textId="22FF0316" w:rsidR="00016FF5" w:rsidRPr="007F43F6" w:rsidRDefault="00F5295C" w:rsidP="003D33A6">
      <w:pPr>
        <w:jc w:val="both"/>
        <w:rPr>
          <w:b/>
          <w:bCs/>
          <w:color w:val="000000"/>
          <w:sz w:val="24"/>
          <w:szCs w:val="24"/>
        </w:rPr>
      </w:pPr>
      <w:r w:rsidRPr="007F43F6">
        <w:rPr>
          <w:color w:val="000000"/>
          <w:sz w:val="24"/>
          <w:szCs w:val="24"/>
        </w:rPr>
        <w:t xml:space="preserve"> </w:t>
      </w:r>
      <w:r w:rsidR="00016FF5" w:rsidRPr="007F43F6">
        <w:rPr>
          <w:b/>
          <w:bCs/>
          <w:color w:val="000000"/>
          <w:sz w:val="24"/>
          <w:szCs w:val="24"/>
        </w:rPr>
        <w:t>References</w:t>
      </w:r>
    </w:p>
    <w:p w14:paraId="414F281D" w14:textId="77777777" w:rsidR="00016FF5" w:rsidRPr="007F43F6" w:rsidRDefault="00016FF5" w:rsidP="003D33A6">
      <w:pPr>
        <w:jc w:val="both"/>
        <w:rPr>
          <w:color w:val="000000"/>
          <w:sz w:val="24"/>
          <w:szCs w:val="24"/>
        </w:rPr>
      </w:pPr>
    </w:p>
    <w:p w14:paraId="14C2AA31" w14:textId="247DF430" w:rsidR="00016FF5" w:rsidRPr="007F43F6" w:rsidRDefault="00016FF5" w:rsidP="003D33A6">
      <w:pPr>
        <w:pStyle w:val="ListParagraph"/>
        <w:numPr>
          <w:ilvl w:val="0"/>
          <w:numId w:val="3"/>
        </w:numPr>
        <w:jc w:val="both"/>
        <w:rPr>
          <w:color w:val="000000"/>
          <w:sz w:val="24"/>
          <w:szCs w:val="24"/>
        </w:rPr>
      </w:pPr>
      <w:r w:rsidRPr="007F43F6">
        <w:rPr>
          <w:color w:val="000000"/>
          <w:sz w:val="24"/>
          <w:szCs w:val="24"/>
        </w:rPr>
        <w:t xml:space="preserve">Singh A, Mahajan S, Tiwari A, Mahajan K. A Conceptual Study on </w:t>
      </w:r>
      <w:proofErr w:type="spellStart"/>
      <w:r w:rsidRPr="007F43F6">
        <w:rPr>
          <w:color w:val="000000"/>
          <w:sz w:val="24"/>
          <w:szCs w:val="24"/>
        </w:rPr>
        <w:t>Vatarakta</w:t>
      </w:r>
      <w:proofErr w:type="spellEnd"/>
      <w:r w:rsidRPr="007F43F6">
        <w:rPr>
          <w:color w:val="000000"/>
          <w:sz w:val="24"/>
          <w:szCs w:val="24"/>
        </w:rPr>
        <w:t xml:space="preserve"> </w:t>
      </w:r>
      <w:proofErr w:type="spellStart"/>
      <w:r w:rsidRPr="007F43F6">
        <w:rPr>
          <w:color w:val="000000"/>
          <w:sz w:val="24"/>
          <w:szCs w:val="24"/>
        </w:rPr>
        <w:t>w.s.r</w:t>
      </w:r>
      <w:proofErr w:type="spellEnd"/>
      <w:r w:rsidRPr="007F43F6">
        <w:rPr>
          <w:color w:val="000000"/>
          <w:sz w:val="24"/>
          <w:szCs w:val="24"/>
        </w:rPr>
        <w:t xml:space="preserve">. to Gouty Arthritis. AYUSHDHARA. 2024;11(3):70–78. Available from: </w:t>
      </w:r>
      <w:hyperlink r:id="rId7" w:history="1">
        <w:r w:rsidRPr="007F43F6">
          <w:rPr>
            <w:rStyle w:val="Hyperlink"/>
            <w:sz w:val="24"/>
            <w:szCs w:val="24"/>
          </w:rPr>
          <w:t>https://ayushdhara.in/index.php/ayushdhara/article/view/1560</w:t>
        </w:r>
      </w:hyperlink>
      <w:r w:rsidRPr="007F43F6">
        <w:rPr>
          <w:color w:val="000000"/>
          <w:sz w:val="24"/>
          <w:szCs w:val="24"/>
        </w:rPr>
        <w:t>.</w:t>
      </w:r>
    </w:p>
    <w:p w14:paraId="345233AE" w14:textId="77777777" w:rsidR="00016FF5" w:rsidRPr="007F43F6" w:rsidRDefault="00016FF5" w:rsidP="003D33A6">
      <w:pPr>
        <w:jc w:val="both"/>
        <w:rPr>
          <w:color w:val="000000"/>
          <w:sz w:val="24"/>
          <w:szCs w:val="24"/>
        </w:rPr>
      </w:pPr>
    </w:p>
    <w:p w14:paraId="64A31A42" w14:textId="67459A01" w:rsidR="00016FF5" w:rsidRPr="007F43F6" w:rsidRDefault="00016FF5" w:rsidP="003D33A6">
      <w:pPr>
        <w:pStyle w:val="ListParagraph"/>
        <w:numPr>
          <w:ilvl w:val="0"/>
          <w:numId w:val="3"/>
        </w:numPr>
        <w:jc w:val="both"/>
        <w:rPr>
          <w:color w:val="000000"/>
          <w:sz w:val="24"/>
          <w:szCs w:val="24"/>
        </w:rPr>
      </w:pPr>
      <w:r w:rsidRPr="007F43F6">
        <w:rPr>
          <w:color w:val="000000"/>
          <w:sz w:val="24"/>
          <w:szCs w:val="24"/>
        </w:rPr>
        <w:t xml:space="preserve">Preeti, Yadav R, Tewari AN. Review on Understanding and Management of </w:t>
      </w:r>
      <w:proofErr w:type="spellStart"/>
      <w:r w:rsidRPr="007F43F6">
        <w:rPr>
          <w:color w:val="000000"/>
          <w:sz w:val="24"/>
          <w:szCs w:val="24"/>
        </w:rPr>
        <w:t>Vatarakta</w:t>
      </w:r>
      <w:proofErr w:type="spellEnd"/>
      <w:r w:rsidRPr="007F43F6">
        <w:rPr>
          <w:color w:val="000000"/>
          <w:sz w:val="24"/>
          <w:szCs w:val="24"/>
        </w:rPr>
        <w:t xml:space="preserve"> W.S.R. to Hyperuricemia. International Journal of Health Sciences and Research. 2024;14(8):110–119. Doi:10.52403/ijhsr.20240814.</w:t>
      </w:r>
    </w:p>
    <w:p w14:paraId="60332FE4" w14:textId="77777777" w:rsidR="00016FF5" w:rsidRPr="007F43F6" w:rsidRDefault="00016FF5" w:rsidP="003D33A6">
      <w:pPr>
        <w:jc w:val="both"/>
        <w:rPr>
          <w:color w:val="000000"/>
          <w:sz w:val="24"/>
          <w:szCs w:val="24"/>
        </w:rPr>
      </w:pPr>
    </w:p>
    <w:p w14:paraId="6D17C2E2" w14:textId="3E13C4CF" w:rsidR="00016FF5" w:rsidRPr="007F43F6" w:rsidRDefault="00016FF5" w:rsidP="003D33A6">
      <w:pPr>
        <w:pStyle w:val="ListParagraph"/>
        <w:numPr>
          <w:ilvl w:val="0"/>
          <w:numId w:val="3"/>
        </w:numPr>
        <w:jc w:val="both"/>
        <w:rPr>
          <w:color w:val="000000"/>
          <w:sz w:val="24"/>
          <w:szCs w:val="24"/>
        </w:rPr>
      </w:pPr>
      <w:r w:rsidRPr="007F43F6">
        <w:rPr>
          <w:color w:val="000000"/>
          <w:sz w:val="24"/>
          <w:szCs w:val="24"/>
        </w:rPr>
        <w:t xml:space="preserve">Jaiswal P, </w:t>
      </w:r>
      <w:proofErr w:type="spellStart"/>
      <w:r w:rsidRPr="007F43F6">
        <w:rPr>
          <w:color w:val="000000"/>
          <w:sz w:val="24"/>
          <w:szCs w:val="24"/>
        </w:rPr>
        <w:t>Dachewar</w:t>
      </w:r>
      <w:proofErr w:type="spellEnd"/>
      <w:r w:rsidRPr="007F43F6">
        <w:rPr>
          <w:color w:val="000000"/>
          <w:sz w:val="24"/>
          <w:szCs w:val="24"/>
        </w:rPr>
        <w:t xml:space="preserve"> DA. A systemic literature review of </w:t>
      </w:r>
      <w:proofErr w:type="spellStart"/>
      <w:r w:rsidRPr="007F43F6">
        <w:rPr>
          <w:color w:val="000000"/>
          <w:sz w:val="24"/>
          <w:szCs w:val="24"/>
        </w:rPr>
        <w:t>Vatarakta</w:t>
      </w:r>
      <w:proofErr w:type="spellEnd"/>
      <w:r w:rsidRPr="007F43F6">
        <w:rPr>
          <w:color w:val="000000"/>
          <w:sz w:val="24"/>
          <w:szCs w:val="24"/>
        </w:rPr>
        <w:t xml:space="preserve"> and its management through Ayurveda </w:t>
      </w:r>
      <w:proofErr w:type="spellStart"/>
      <w:r w:rsidRPr="007F43F6">
        <w:rPr>
          <w:color w:val="000000"/>
          <w:sz w:val="24"/>
          <w:szCs w:val="24"/>
        </w:rPr>
        <w:t>w.s.r</w:t>
      </w:r>
      <w:proofErr w:type="spellEnd"/>
      <w:r w:rsidRPr="007F43F6">
        <w:rPr>
          <w:color w:val="000000"/>
          <w:sz w:val="24"/>
          <w:szCs w:val="24"/>
        </w:rPr>
        <w:t>. to Gout. Sanjeevani Darshan National Journal of Ayurveda &amp; Yoga. 2023;1(2):35–41. Doi:10.55552/SDNJAY.2023.1205.</w:t>
      </w:r>
    </w:p>
    <w:p w14:paraId="439C46B2" w14:textId="77777777" w:rsidR="00016FF5" w:rsidRPr="007F43F6" w:rsidRDefault="00016FF5" w:rsidP="003D33A6">
      <w:pPr>
        <w:jc w:val="both"/>
        <w:rPr>
          <w:color w:val="000000"/>
          <w:sz w:val="24"/>
          <w:szCs w:val="24"/>
        </w:rPr>
      </w:pPr>
    </w:p>
    <w:p w14:paraId="5D50F866" w14:textId="0E0C3B69" w:rsidR="00016FF5" w:rsidRPr="007F43F6" w:rsidRDefault="00016FF5" w:rsidP="003D33A6">
      <w:pPr>
        <w:pStyle w:val="ListParagraph"/>
        <w:numPr>
          <w:ilvl w:val="0"/>
          <w:numId w:val="3"/>
        </w:numPr>
        <w:jc w:val="both"/>
        <w:rPr>
          <w:color w:val="000000"/>
          <w:sz w:val="24"/>
          <w:szCs w:val="24"/>
        </w:rPr>
      </w:pPr>
      <w:proofErr w:type="spellStart"/>
      <w:r w:rsidRPr="007F43F6">
        <w:rPr>
          <w:color w:val="000000"/>
          <w:sz w:val="24"/>
          <w:szCs w:val="24"/>
        </w:rPr>
        <w:t>Neogi</w:t>
      </w:r>
      <w:proofErr w:type="spellEnd"/>
      <w:r w:rsidRPr="007F43F6">
        <w:rPr>
          <w:color w:val="000000"/>
          <w:sz w:val="24"/>
          <w:szCs w:val="24"/>
        </w:rPr>
        <w:t xml:space="preserve"> T, Jansen TLTA, </w:t>
      </w:r>
      <w:proofErr w:type="spellStart"/>
      <w:r w:rsidRPr="007F43F6">
        <w:rPr>
          <w:color w:val="000000"/>
          <w:sz w:val="24"/>
          <w:szCs w:val="24"/>
        </w:rPr>
        <w:t>Dalbeth</w:t>
      </w:r>
      <w:proofErr w:type="spellEnd"/>
      <w:r w:rsidRPr="007F43F6">
        <w:rPr>
          <w:color w:val="000000"/>
          <w:sz w:val="24"/>
          <w:szCs w:val="24"/>
        </w:rPr>
        <w:t xml:space="preserve"> N, et al. 2015 Gout classification criteria: an American College of Rheumatology/European League Against Rheumatism collaborative initiative. Arthritis </w:t>
      </w:r>
      <w:proofErr w:type="spellStart"/>
      <w:r w:rsidRPr="007F43F6">
        <w:rPr>
          <w:color w:val="000000"/>
          <w:sz w:val="24"/>
          <w:szCs w:val="24"/>
        </w:rPr>
        <w:t>Rheumatol</w:t>
      </w:r>
      <w:proofErr w:type="spellEnd"/>
      <w:r w:rsidRPr="007F43F6">
        <w:rPr>
          <w:color w:val="000000"/>
          <w:sz w:val="24"/>
          <w:szCs w:val="24"/>
        </w:rPr>
        <w:t>. 2015;67(10):2557–2568. Doi:10.1002/art.39254.</w:t>
      </w:r>
    </w:p>
    <w:p w14:paraId="259A14AA" w14:textId="77777777" w:rsidR="00016FF5" w:rsidRPr="007F43F6" w:rsidRDefault="00016FF5" w:rsidP="003D33A6">
      <w:pPr>
        <w:jc w:val="both"/>
        <w:rPr>
          <w:color w:val="000000"/>
          <w:sz w:val="24"/>
          <w:szCs w:val="24"/>
        </w:rPr>
      </w:pPr>
    </w:p>
    <w:p w14:paraId="23179234" w14:textId="445DE5EE" w:rsidR="00016FF5" w:rsidRPr="007F43F6" w:rsidRDefault="00016FF5" w:rsidP="003D33A6">
      <w:pPr>
        <w:pStyle w:val="ListParagraph"/>
        <w:numPr>
          <w:ilvl w:val="0"/>
          <w:numId w:val="3"/>
        </w:numPr>
        <w:jc w:val="both"/>
        <w:rPr>
          <w:color w:val="000000"/>
          <w:sz w:val="24"/>
          <w:szCs w:val="24"/>
        </w:rPr>
      </w:pPr>
      <w:r w:rsidRPr="007F43F6">
        <w:rPr>
          <w:color w:val="000000"/>
          <w:sz w:val="24"/>
          <w:szCs w:val="24"/>
        </w:rPr>
        <w:t>Richette P, Doherty M, Pascual E, et al. 2018 updated European League Against Rheumatism evidence-based recommendations for the diagnosis of gout. Ann Rheum Dis. 2020;79(1):31–38. Doi:10.1136/annrheumdis-2019-215315.</w:t>
      </w:r>
    </w:p>
    <w:p w14:paraId="25B72AFE" w14:textId="77777777" w:rsidR="00016FF5" w:rsidRPr="007F43F6" w:rsidRDefault="00016FF5" w:rsidP="003D33A6">
      <w:pPr>
        <w:jc w:val="both"/>
        <w:rPr>
          <w:color w:val="000000"/>
          <w:sz w:val="24"/>
          <w:szCs w:val="24"/>
        </w:rPr>
      </w:pPr>
    </w:p>
    <w:p w14:paraId="7EF90F09" w14:textId="0928A783" w:rsidR="00016FF5" w:rsidRPr="007F43F6" w:rsidRDefault="00016FF5" w:rsidP="003D33A6">
      <w:pPr>
        <w:pStyle w:val="ListParagraph"/>
        <w:numPr>
          <w:ilvl w:val="0"/>
          <w:numId w:val="3"/>
        </w:numPr>
        <w:jc w:val="both"/>
        <w:rPr>
          <w:color w:val="000000"/>
          <w:sz w:val="24"/>
          <w:szCs w:val="24"/>
        </w:rPr>
      </w:pPr>
      <w:r w:rsidRPr="007F43F6">
        <w:rPr>
          <w:color w:val="000000"/>
          <w:sz w:val="24"/>
          <w:szCs w:val="24"/>
        </w:rPr>
        <w:t xml:space="preserve">Narang R, </w:t>
      </w:r>
      <w:proofErr w:type="spellStart"/>
      <w:r w:rsidRPr="007F43F6">
        <w:rPr>
          <w:color w:val="000000"/>
          <w:sz w:val="24"/>
          <w:szCs w:val="24"/>
        </w:rPr>
        <w:t>Dalbeth</w:t>
      </w:r>
      <w:proofErr w:type="spellEnd"/>
      <w:r w:rsidRPr="007F43F6">
        <w:rPr>
          <w:color w:val="000000"/>
          <w:sz w:val="24"/>
          <w:szCs w:val="24"/>
        </w:rPr>
        <w:t xml:space="preserve"> N. Pathophysiology of gout. Semin Nephrol. 2020;40(6):550–563. Doi:10.1016/j.semnephrol.2020.12.001.</w:t>
      </w:r>
    </w:p>
    <w:p w14:paraId="33BF317F" w14:textId="77777777" w:rsidR="00016FF5" w:rsidRPr="007F43F6" w:rsidRDefault="00016FF5" w:rsidP="003D33A6">
      <w:pPr>
        <w:jc w:val="both"/>
        <w:rPr>
          <w:color w:val="000000"/>
          <w:sz w:val="24"/>
          <w:szCs w:val="24"/>
        </w:rPr>
      </w:pPr>
    </w:p>
    <w:p w14:paraId="019DAB27" w14:textId="0FB39D13" w:rsidR="00016FF5" w:rsidRPr="007F43F6" w:rsidRDefault="00016FF5" w:rsidP="003D33A6">
      <w:pPr>
        <w:pStyle w:val="ListParagraph"/>
        <w:numPr>
          <w:ilvl w:val="0"/>
          <w:numId w:val="3"/>
        </w:numPr>
        <w:jc w:val="both"/>
        <w:rPr>
          <w:color w:val="000000"/>
          <w:sz w:val="24"/>
          <w:szCs w:val="24"/>
        </w:rPr>
      </w:pPr>
      <w:proofErr w:type="spellStart"/>
      <w:r w:rsidRPr="007F43F6">
        <w:rPr>
          <w:color w:val="000000"/>
          <w:sz w:val="24"/>
          <w:szCs w:val="24"/>
        </w:rPr>
        <w:t>Dalbeth</w:t>
      </w:r>
      <w:proofErr w:type="spellEnd"/>
      <w:r w:rsidRPr="007F43F6">
        <w:rPr>
          <w:color w:val="000000"/>
          <w:sz w:val="24"/>
          <w:szCs w:val="24"/>
        </w:rPr>
        <w:t xml:space="preserve"> N, Merriman TR, Stamp LK. Gout. Lancet. 2016;388(10055):2039–2052. Doi:10.1016/S0140-6736(16)00346-9.</w:t>
      </w:r>
    </w:p>
    <w:p w14:paraId="18BBA8A0" w14:textId="77777777" w:rsidR="00016FF5" w:rsidRPr="007F43F6" w:rsidRDefault="00016FF5" w:rsidP="003D33A6">
      <w:pPr>
        <w:jc w:val="both"/>
        <w:rPr>
          <w:color w:val="000000"/>
          <w:sz w:val="24"/>
          <w:szCs w:val="24"/>
        </w:rPr>
      </w:pPr>
    </w:p>
    <w:p w14:paraId="7240B11A" w14:textId="52726526" w:rsidR="00016FF5" w:rsidRPr="007F43F6" w:rsidRDefault="00016FF5" w:rsidP="003D33A6">
      <w:pPr>
        <w:pStyle w:val="ListParagraph"/>
        <w:numPr>
          <w:ilvl w:val="0"/>
          <w:numId w:val="3"/>
        </w:numPr>
        <w:jc w:val="both"/>
        <w:rPr>
          <w:color w:val="000000"/>
          <w:sz w:val="24"/>
          <w:szCs w:val="24"/>
        </w:rPr>
      </w:pPr>
      <w:r w:rsidRPr="007F43F6">
        <w:rPr>
          <w:color w:val="000000"/>
          <w:sz w:val="24"/>
          <w:szCs w:val="24"/>
        </w:rPr>
        <w:t xml:space="preserve">Benn CL, Dua P, </w:t>
      </w:r>
      <w:proofErr w:type="spellStart"/>
      <w:r w:rsidRPr="007F43F6">
        <w:rPr>
          <w:color w:val="000000"/>
          <w:sz w:val="24"/>
          <w:szCs w:val="24"/>
        </w:rPr>
        <w:t>Gurrell</w:t>
      </w:r>
      <w:proofErr w:type="spellEnd"/>
      <w:r w:rsidRPr="007F43F6">
        <w:rPr>
          <w:color w:val="000000"/>
          <w:sz w:val="24"/>
          <w:szCs w:val="24"/>
        </w:rPr>
        <w:t xml:space="preserve"> R, et al. Physiology of hyperuricemia and urate-lowering treatments. Front Med (Lausanne). 2018;5:160. Doi:10.3389/fmed.2018.00160.</w:t>
      </w:r>
    </w:p>
    <w:p w14:paraId="623F46A9" w14:textId="77777777" w:rsidR="005D222B" w:rsidRPr="007F43F6" w:rsidRDefault="005D222B" w:rsidP="005D222B">
      <w:pPr>
        <w:pStyle w:val="ListParagraph"/>
        <w:rPr>
          <w:color w:val="000000"/>
          <w:sz w:val="24"/>
          <w:szCs w:val="24"/>
        </w:rPr>
      </w:pPr>
    </w:p>
    <w:p w14:paraId="24823FAD" w14:textId="29EC80CA" w:rsidR="005D222B" w:rsidRPr="007F43F6" w:rsidRDefault="005D222B" w:rsidP="003D33A6">
      <w:pPr>
        <w:pStyle w:val="ListParagraph"/>
        <w:numPr>
          <w:ilvl w:val="0"/>
          <w:numId w:val="3"/>
        </w:numPr>
        <w:jc w:val="both"/>
        <w:rPr>
          <w:color w:val="000000"/>
          <w:sz w:val="24"/>
          <w:szCs w:val="24"/>
        </w:rPr>
      </w:pPr>
      <w:proofErr w:type="spellStart"/>
      <w:r w:rsidRPr="007F43F6">
        <w:rPr>
          <w:color w:val="000000"/>
          <w:sz w:val="24"/>
          <w:szCs w:val="24"/>
        </w:rPr>
        <w:t>Agnivesha</w:t>
      </w:r>
      <w:proofErr w:type="spellEnd"/>
      <w:r w:rsidRPr="007F43F6">
        <w:rPr>
          <w:color w:val="000000"/>
          <w:sz w:val="24"/>
          <w:szCs w:val="24"/>
        </w:rPr>
        <w:t xml:space="preserve">. Charaka Samhita. Chikitsa </w:t>
      </w:r>
      <w:proofErr w:type="spellStart"/>
      <w:r w:rsidRPr="007F43F6">
        <w:rPr>
          <w:color w:val="000000"/>
          <w:sz w:val="24"/>
          <w:szCs w:val="24"/>
        </w:rPr>
        <w:t>Sthana</w:t>
      </w:r>
      <w:proofErr w:type="spellEnd"/>
      <w:r w:rsidRPr="007F43F6">
        <w:rPr>
          <w:color w:val="000000"/>
          <w:sz w:val="24"/>
          <w:szCs w:val="24"/>
        </w:rPr>
        <w:t xml:space="preserve">, </w:t>
      </w:r>
      <w:proofErr w:type="spellStart"/>
      <w:r w:rsidRPr="007F43F6">
        <w:rPr>
          <w:color w:val="000000"/>
          <w:sz w:val="24"/>
          <w:szCs w:val="24"/>
        </w:rPr>
        <w:t>Vatarakta</w:t>
      </w:r>
      <w:proofErr w:type="spellEnd"/>
      <w:r w:rsidRPr="007F43F6">
        <w:rPr>
          <w:color w:val="000000"/>
          <w:sz w:val="24"/>
          <w:szCs w:val="24"/>
        </w:rPr>
        <w:t xml:space="preserve"> Chikitsa Adhyaya, Chapter 29, verses 5–29. Acharya YT, editor. Varanasi: </w:t>
      </w:r>
      <w:proofErr w:type="spellStart"/>
      <w:r w:rsidRPr="007F43F6">
        <w:rPr>
          <w:color w:val="000000"/>
          <w:sz w:val="24"/>
          <w:szCs w:val="24"/>
        </w:rPr>
        <w:t>Chaukhambha</w:t>
      </w:r>
      <w:proofErr w:type="spellEnd"/>
      <w:r w:rsidRPr="007F43F6">
        <w:rPr>
          <w:color w:val="000000"/>
          <w:sz w:val="24"/>
          <w:szCs w:val="24"/>
        </w:rPr>
        <w:t xml:space="preserve"> Sanskrit Sansthan; 2017. P. 627–641.</w:t>
      </w:r>
    </w:p>
    <w:p w14:paraId="3C46B3FE" w14:textId="77777777" w:rsidR="005D222B" w:rsidRPr="007F43F6" w:rsidRDefault="005D222B" w:rsidP="005D222B">
      <w:pPr>
        <w:pStyle w:val="ListParagraph"/>
        <w:rPr>
          <w:color w:val="000000"/>
          <w:sz w:val="24"/>
          <w:szCs w:val="24"/>
        </w:rPr>
      </w:pPr>
    </w:p>
    <w:p w14:paraId="3CBA141D" w14:textId="43C01F52" w:rsidR="005D222B" w:rsidRPr="007F43F6" w:rsidRDefault="005D222B" w:rsidP="00FB333C">
      <w:pPr>
        <w:pStyle w:val="ListParagraph"/>
        <w:numPr>
          <w:ilvl w:val="0"/>
          <w:numId w:val="3"/>
        </w:numPr>
        <w:jc w:val="both"/>
        <w:rPr>
          <w:color w:val="000000"/>
          <w:sz w:val="24"/>
          <w:szCs w:val="24"/>
        </w:rPr>
      </w:pPr>
      <w:r w:rsidRPr="007F43F6">
        <w:rPr>
          <w:color w:val="000000"/>
          <w:sz w:val="24"/>
          <w:szCs w:val="24"/>
        </w:rPr>
        <w:t xml:space="preserve">Sushruta. Sushruta Samhita. Nidana Sthana, </w:t>
      </w:r>
      <w:proofErr w:type="spellStart"/>
      <w:r w:rsidRPr="007F43F6">
        <w:rPr>
          <w:color w:val="000000"/>
          <w:sz w:val="24"/>
          <w:szCs w:val="24"/>
        </w:rPr>
        <w:t>Vatavyadhi</w:t>
      </w:r>
      <w:proofErr w:type="spellEnd"/>
      <w:r w:rsidRPr="007F43F6">
        <w:rPr>
          <w:color w:val="000000"/>
          <w:sz w:val="24"/>
          <w:szCs w:val="24"/>
        </w:rPr>
        <w:t xml:space="preserve"> Nidana Adhyaya, Chapter 1, verses 41–45; Chikitsa </w:t>
      </w:r>
      <w:proofErr w:type="spellStart"/>
      <w:r w:rsidRPr="007F43F6">
        <w:rPr>
          <w:color w:val="000000"/>
          <w:sz w:val="24"/>
          <w:szCs w:val="24"/>
        </w:rPr>
        <w:t>Sthana</w:t>
      </w:r>
      <w:proofErr w:type="spellEnd"/>
      <w:r w:rsidRPr="007F43F6">
        <w:rPr>
          <w:color w:val="000000"/>
          <w:sz w:val="24"/>
          <w:szCs w:val="24"/>
        </w:rPr>
        <w:t xml:space="preserve">, </w:t>
      </w:r>
      <w:proofErr w:type="spellStart"/>
      <w:r w:rsidRPr="007F43F6">
        <w:rPr>
          <w:color w:val="000000"/>
          <w:sz w:val="24"/>
          <w:szCs w:val="24"/>
        </w:rPr>
        <w:t>Mahavatavyadhi</w:t>
      </w:r>
      <w:proofErr w:type="spellEnd"/>
      <w:r w:rsidRPr="007F43F6">
        <w:rPr>
          <w:color w:val="000000"/>
          <w:sz w:val="24"/>
          <w:szCs w:val="24"/>
        </w:rPr>
        <w:t xml:space="preserve"> Chikitsa Adhyaya, Chapter 5, verses 1–17. Acharya YT, editor. Varanasi: </w:t>
      </w:r>
      <w:proofErr w:type="spellStart"/>
      <w:r w:rsidRPr="007F43F6">
        <w:rPr>
          <w:color w:val="000000"/>
          <w:sz w:val="24"/>
          <w:szCs w:val="24"/>
        </w:rPr>
        <w:t>Chaukhambha</w:t>
      </w:r>
      <w:proofErr w:type="spellEnd"/>
      <w:r w:rsidRPr="007F43F6">
        <w:rPr>
          <w:color w:val="000000"/>
          <w:sz w:val="24"/>
          <w:szCs w:val="24"/>
        </w:rPr>
        <w:t xml:space="preserve"> Orientalia; 2014. P. 263–265, 424–428.</w:t>
      </w:r>
    </w:p>
    <w:p w14:paraId="5E963998" w14:textId="77777777" w:rsidR="00016FF5" w:rsidRPr="007F43F6" w:rsidRDefault="00016FF5" w:rsidP="003D33A6">
      <w:pPr>
        <w:jc w:val="both"/>
        <w:rPr>
          <w:color w:val="000000"/>
          <w:sz w:val="24"/>
          <w:szCs w:val="24"/>
        </w:rPr>
      </w:pPr>
    </w:p>
    <w:p w14:paraId="483A8E17" w14:textId="6F397169" w:rsidR="0099331C" w:rsidRPr="007F43F6" w:rsidRDefault="0099331C" w:rsidP="003D33A6">
      <w:pPr>
        <w:pStyle w:val="ListParagraph"/>
        <w:numPr>
          <w:ilvl w:val="0"/>
          <w:numId w:val="3"/>
        </w:numPr>
        <w:jc w:val="both"/>
        <w:rPr>
          <w:color w:val="000000"/>
          <w:sz w:val="24"/>
          <w:szCs w:val="24"/>
        </w:rPr>
      </w:pPr>
      <w:proofErr w:type="spellStart"/>
      <w:r w:rsidRPr="007F43F6">
        <w:rPr>
          <w:color w:val="000000"/>
          <w:sz w:val="24"/>
          <w:szCs w:val="24"/>
        </w:rPr>
        <w:t>Agnivesha</w:t>
      </w:r>
      <w:proofErr w:type="spellEnd"/>
      <w:r w:rsidRPr="007F43F6">
        <w:rPr>
          <w:color w:val="000000"/>
          <w:sz w:val="24"/>
          <w:szCs w:val="24"/>
        </w:rPr>
        <w:t xml:space="preserve">. Charaka Samhita. Chikitsa </w:t>
      </w:r>
      <w:proofErr w:type="spellStart"/>
      <w:r w:rsidRPr="007F43F6">
        <w:rPr>
          <w:color w:val="000000"/>
          <w:sz w:val="24"/>
          <w:szCs w:val="24"/>
        </w:rPr>
        <w:t>Sthana</w:t>
      </w:r>
      <w:proofErr w:type="spellEnd"/>
      <w:r w:rsidRPr="007F43F6">
        <w:rPr>
          <w:color w:val="000000"/>
          <w:sz w:val="24"/>
          <w:szCs w:val="24"/>
        </w:rPr>
        <w:t xml:space="preserve">, </w:t>
      </w:r>
      <w:proofErr w:type="spellStart"/>
      <w:r w:rsidRPr="007F43F6">
        <w:rPr>
          <w:color w:val="000000"/>
          <w:sz w:val="24"/>
          <w:szCs w:val="24"/>
        </w:rPr>
        <w:t>Vatarakta</w:t>
      </w:r>
      <w:proofErr w:type="spellEnd"/>
      <w:r w:rsidRPr="007F43F6">
        <w:rPr>
          <w:color w:val="000000"/>
          <w:sz w:val="24"/>
          <w:szCs w:val="24"/>
        </w:rPr>
        <w:t xml:space="preserve"> Chikitsa Adhyaya, Chapter 29, verses 5–29. Acharya YT, editor. Varanasi: </w:t>
      </w:r>
      <w:proofErr w:type="spellStart"/>
      <w:r w:rsidRPr="007F43F6">
        <w:rPr>
          <w:color w:val="000000"/>
          <w:sz w:val="24"/>
          <w:szCs w:val="24"/>
        </w:rPr>
        <w:t>Chaukhambha</w:t>
      </w:r>
      <w:proofErr w:type="spellEnd"/>
      <w:r w:rsidRPr="007F43F6">
        <w:rPr>
          <w:color w:val="000000"/>
          <w:sz w:val="24"/>
          <w:szCs w:val="24"/>
        </w:rPr>
        <w:t xml:space="preserve"> Sanskrit Sansthan; 2017. P. 627–641.</w:t>
      </w:r>
    </w:p>
    <w:p w14:paraId="0969DBAE" w14:textId="77777777" w:rsidR="0099331C" w:rsidRPr="007F43F6" w:rsidRDefault="0099331C" w:rsidP="0099331C">
      <w:pPr>
        <w:pStyle w:val="ListParagraph"/>
        <w:rPr>
          <w:color w:val="000000"/>
          <w:sz w:val="24"/>
          <w:szCs w:val="24"/>
        </w:rPr>
      </w:pPr>
    </w:p>
    <w:p w14:paraId="6F0EE0C7" w14:textId="77777777" w:rsidR="00CD2C9C" w:rsidRPr="007F43F6" w:rsidRDefault="00CD2C9C" w:rsidP="003D33A6">
      <w:pPr>
        <w:pStyle w:val="ListParagraph"/>
        <w:numPr>
          <w:ilvl w:val="0"/>
          <w:numId w:val="3"/>
        </w:numPr>
        <w:jc w:val="both"/>
        <w:rPr>
          <w:color w:val="000000"/>
          <w:sz w:val="24"/>
          <w:szCs w:val="24"/>
        </w:rPr>
      </w:pPr>
      <w:proofErr w:type="spellStart"/>
      <w:r w:rsidRPr="007F43F6">
        <w:rPr>
          <w:color w:val="000000"/>
          <w:sz w:val="24"/>
          <w:szCs w:val="24"/>
        </w:rPr>
        <w:t>Agnivesha</w:t>
      </w:r>
      <w:proofErr w:type="spellEnd"/>
      <w:r w:rsidRPr="007F43F6">
        <w:rPr>
          <w:color w:val="000000"/>
          <w:sz w:val="24"/>
          <w:szCs w:val="24"/>
        </w:rPr>
        <w:t xml:space="preserve">. Charaka Samhita. Chikitsa </w:t>
      </w:r>
      <w:proofErr w:type="spellStart"/>
      <w:r w:rsidRPr="007F43F6">
        <w:rPr>
          <w:color w:val="000000"/>
          <w:sz w:val="24"/>
          <w:szCs w:val="24"/>
        </w:rPr>
        <w:t>Sthana</w:t>
      </w:r>
      <w:proofErr w:type="spellEnd"/>
      <w:r w:rsidRPr="007F43F6">
        <w:rPr>
          <w:color w:val="000000"/>
          <w:sz w:val="24"/>
          <w:szCs w:val="24"/>
        </w:rPr>
        <w:t xml:space="preserve">, </w:t>
      </w:r>
      <w:proofErr w:type="spellStart"/>
      <w:r w:rsidRPr="007F43F6">
        <w:rPr>
          <w:color w:val="000000"/>
          <w:sz w:val="24"/>
          <w:szCs w:val="24"/>
        </w:rPr>
        <w:t>Vatarakta</w:t>
      </w:r>
      <w:proofErr w:type="spellEnd"/>
      <w:r w:rsidRPr="007F43F6">
        <w:rPr>
          <w:color w:val="000000"/>
          <w:sz w:val="24"/>
          <w:szCs w:val="24"/>
        </w:rPr>
        <w:t xml:space="preserve"> Chikitsa Adhyaya, Chapter 29, verses 5–29. Acharya YT, editor. Varanasi: </w:t>
      </w:r>
      <w:proofErr w:type="spellStart"/>
      <w:r w:rsidRPr="007F43F6">
        <w:rPr>
          <w:color w:val="000000"/>
          <w:sz w:val="24"/>
          <w:szCs w:val="24"/>
        </w:rPr>
        <w:t>Chaukhambha</w:t>
      </w:r>
      <w:proofErr w:type="spellEnd"/>
      <w:r w:rsidRPr="007F43F6">
        <w:rPr>
          <w:color w:val="000000"/>
          <w:sz w:val="24"/>
          <w:szCs w:val="24"/>
        </w:rPr>
        <w:t xml:space="preserve"> Sanskrit Sansthan; 2017. P. 627–641.</w:t>
      </w:r>
    </w:p>
    <w:p w14:paraId="28D21427" w14:textId="77777777" w:rsidR="00CD2C9C" w:rsidRPr="007F43F6" w:rsidRDefault="00CD2C9C" w:rsidP="00CD2C9C">
      <w:pPr>
        <w:pStyle w:val="ListParagraph"/>
        <w:rPr>
          <w:color w:val="000000"/>
          <w:sz w:val="24"/>
          <w:szCs w:val="24"/>
        </w:rPr>
      </w:pPr>
    </w:p>
    <w:p w14:paraId="05F54C86" w14:textId="6AA7A918" w:rsidR="00CD2C9C" w:rsidRPr="007F43F6" w:rsidRDefault="00CD2C9C" w:rsidP="003D33A6">
      <w:pPr>
        <w:pStyle w:val="ListParagraph"/>
        <w:numPr>
          <w:ilvl w:val="0"/>
          <w:numId w:val="3"/>
        </w:numPr>
        <w:jc w:val="both"/>
        <w:rPr>
          <w:color w:val="000000"/>
          <w:sz w:val="24"/>
          <w:szCs w:val="24"/>
        </w:rPr>
      </w:pPr>
      <w:r w:rsidRPr="007F43F6">
        <w:rPr>
          <w:color w:val="000000"/>
          <w:sz w:val="24"/>
          <w:szCs w:val="24"/>
        </w:rPr>
        <w:t xml:space="preserve">Sushruta. Sushruta Samhita. Nidana Sthana, </w:t>
      </w:r>
      <w:proofErr w:type="spellStart"/>
      <w:r w:rsidRPr="007F43F6">
        <w:rPr>
          <w:color w:val="000000"/>
          <w:sz w:val="24"/>
          <w:szCs w:val="24"/>
        </w:rPr>
        <w:t>Vatavyadhi</w:t>
      </w:r>
      <w:proofErr w:type="spellEnd"/>
      <w:r w:rsidRPr="007F43F6">
        <w:rPr>
          <w:color w:val="000000"/>
          <w:sz w:val="24"/>
          <w:szCs w:val="24"/>
        </w:rPr>
        <w:t xml:space="preserve"> Nidana Adhyaya, Chapter 1, verses 41–45; Chikitsa </w:t>
      </w:r>
      <w:proofErr w:type="spellStart"/>
      <w:r w:rsidRPr="007F43F6">
        <w:rPr>
          <w:color w:val="000000"/>
          <w:sz w:val="24"/>
          <w:szCs w:val="24"/>
        </w:rPr>
        <w:t>Sthana</w:t>
      </w:r>
      <w:proofErr w:type="spellEnd"/>
      <w:r w:rsidRPr="007F43F6">
        <w:rPr>
          <w:color w:val="000000"/>
          <w:sz w:val="24"/>
          <w:szCs w:val="24"/>
        </w:rPr>
        <w:t xml:space="preserve">, </w:t>
      </w:r>
      <w:proofErr w:type="spellStart"/>
      <w:r w:rsidRPr="007F43F6">
        <w:rPr>
          <w:color w:val="000000"/>
          <w:sz w:val="24"/>
          <w:szCs w:val="24"/>
        </w:rPr>
        <w:t>Mahavatavyadhi</w:t>
      </w:r>
      <w:proofErr w:type="spellEnd"/>
      <w:r w:rsidRPr="007F43F6">
        <w:rPr>
          <w:color w:val="000000"/>
          <w:sz w:val="24"/>
          <w:szCs w:val="24"/>
        </w:rPr>
        <w:t xml:space="preserve"> Chikitsa Adhyaya, Chapter 5, verses 1–17. Acharya YT, editor. Varanasi: </w:t>
      </w:r>
      <w:proofErr w:type="spellStart"/>
      <w:r w:rsidRPr="007F43F6">
        <w:rPr>
          <w:color w:val="000000"/>
          <w:sz w:val="24"/>
          <w:szCs w:val="24"/>
        </w:rPr>
        <w:t>Chaukhambha</w:t>
      </w:r>
      <w:proofErr w:type="spellEnd"/>
      <w:r w:rsidRPr="007F43F6">
        <w:rPr>
          <w:color w:val="000000"/>
          <w:sz w:val="24"/>
          <w:szCs w:val="24"/>
        </w:rPr>
        <w:t xml:space="preserve"> Orientalia; 2014. P. 263–265, 424–428.</w:t>
      </w:r>
    </w:p>
    <w:p w14:paraId="2E857265" w14:textId="77777777" w:rsidR="00CD2C9C" w:rsidRPr="007F43F6" w:rsidRDefault="00CD2C9C" w:rsidP="00CD2C9C">
      <w:pPr>
        <w:pStyle w:val="ListParagraph"/>
        <w:rPr>
          <w:color w:val="000000"/>
          <w:sz w:val="24"/>
          <w:szCs w:val="24"/>
        </w:rPr>
      </w:pPr>
    </w:p>
    <w:p w14:paraId="489A50BE" w14:textId="25690BCB" w:rsidR="00010568" w:rsidRPr="007F43F6" w:rsidRDefault="00010568" w:rsidP="003D33A6">
      <w:pPr>
        <w:pStyle w:val="ListParagraph"/>
        <w:numPr>
          <w:ilvl w:val="0"/>
          <w:numId w:val="3"/>
        </w:numPr>
        <w:jc w:val="both"/>
        <w:rPr>
          <w:color w:val="000000"/>
          <w:sz w:val="24"/>
          <w:szCs w:val="24"/>
        </w:rPr>
      </w:pPr>
      <w:proofErr w:type="spellStart"/>
      <w:r w:rsidRPr="007F43F6">
        <w:rPr>
          <w:color w:val="000000"/>
          <w:sz w:val="24"/>
          <w:szCs w:val="24"/>
        </w:rPr>
        <w:t>Madhavakara</w:t>
      </w:r>
      <w:proofErr w:type="spellEnd"/>
      <w:r w:rsidRPr="007F43F6">
        <w:rPr>
          <w:color w:val="000000"/>
          <w:sz w:val="24"/>
          <w:szCs w:val="24"/>
        </w:rPr>
        <w:t>. Madhava Nidana (</w:t>
      </w:r>
      <w:proofErr w:type="spellStart"/>
      <w:r w:rsidRPr="007F43F6">
        <w:rPr>
          <w:color w:val="000000"/>
          <w:sz w:val="24"/>
          <w:szCs w:val="24"/>
        </w:rPr>
        <w:t>Roga</w:t>
      </w:r>
      <w:proofErr w:type="spellEnd"/>
      <w:r w:rsidRPr="007F43F6">
        <w:rPr>
          <w:color w:val="000000"/>
          <w:sz w:val="24"/>
          <w:szCs w:val="24"/>
        </w:rPr>
        <w:t xml:space="preserve"> </w:t>
      </w:r>
      <w:proofErr w:type="spellStart"/>
      <w:r w:rsidRPr="007F43F6">
        <w:rPr>
          <w:color w:val="000000"/>
          <w:sz w:val="24"/>
          <w:szCs w:val="24"/>
        </w:rPr>
        <w:t>Vinischaya</w:t>
      </w:r>
      <w:proofErr w:type="spellEnd"/>
      <w:r w:rsidRPr="007F43F6">
        <w:rPr>
          <w:color w:val="000000"/>
          <w:sz w:val="24"/>
          <w:szCs w:val="24"/>
        </w:rPr>
        <w:t xml:space="preserve">). </w:t>
      </w:r>
      <w:proofErr w:type="spellStart"/>
      <w:r w:rsidRPr="007F43F6">
        <w:rPr>
          <w:color w:val="000000"/>
          <w:sz w:val="24"/>
          <w:szCs w:val="24"/>
        </w:rPr>
        <w:t>Vatarakta</w:t>
      </w:r>
      <w:proofErr w:type="spellEnd"/>
      <w:r w:rsidRPr="007F43F6">
        <w:rPr>
          <w:color w:val="000000"/>
          <w:sz w:val="24"/>
          <w:szCs w:val="24"/>
        </w:rPr>
        <w:t xml:space="preserve"> </w:t>
      </w:r>
      <w:proofErr w:type="spellStart"/>
      <w:r w:rsidRPr="007F43F6">
        <w:rPr>
          <w:color w:val="000000"/>
          <w:sz w:val="24"/>
          <w:szCs w:val="24"/>
        </w:rPr>
        <w:t>Nidanam</w:t>
      </w:r>
      <w:proofErr w:type="spellEnd"/>
      <w:r w:rsidRPr="007F43F6">
        <w:rPr>
          <w:color w:val="000000"/>
          <w:sz w:val="24"/>
          <w:szCs w:val="24"/>
        </w:rPr>
        <w:t xml:space="preserve"> (Chapter 23). In: Shastri S, Upadhyaya Y, editors. Madhava Nidana with the ‘</w:t>
      </w:r>
      <w:proofErr w:type="spellStart"/>
      <w:r w:rsidRPr="007F43F6">
        <w:rPr>
          <w:color w:val="000000"/>
          <w:sz w:val="24"/>
          <w:szCs w:val="24"/>
        </w:rPr>
        <w:t>Madhukosha</w:t>
      </w:r>
      <w:proofErr w:type="spellEnd"/>
      <w:r w:rsidRPr="007F43F6">
        <w:rPr>
          <w:color w:val="000000"/>
          <w:sz w:val="24"/>
          <w:szCs w:val="24"/>
        </w:rPr>
        <w:t xml:space="preserve">’ Commentary by </w:t>
      </w:r>
      <w:proofErr w:type="spellStart"/>
      <w:r w:rsidRPr="007F43F6">
        <w:rPr>
          <w:color w:val="000000"/>
          <w:sz w:val="24"/>
          <w:szCs w:val="24"/>
        </w:rPr>
        <w:t>Shrivijayarakshita</w:t>
      </w:r>
      <w:proofErr w:type="spellEnd"/>
      <w:r w:rsidRPr="007F43F6">
        <w:rPr>
          <w:color w:val="000000"/>
          <w:sz w:val="24"/>
          <w:szCs w:val="24"/>
        </w:rPr>
        <w:t xml:space="preserve"> and </w:t>
      </w:r>
      <w:proofErr w:type="spellStart"/>
      <w:r w:rsidRPr="007F43F6">
        <w:rPr>
          <w:color w:val="000000"/>
          <w:sz w:val="24"/>
          <w:szCs w:val="24"/>
        </w:rPr>
        <w:t>Srikanthadatta</w:t>
      </w:r>
      <w:proofErr w:type="spellEnd"/>
      <w:r w:rsidRPr="007F43F6">
        <w:rPr>
          <w:color w:val="000000"/>
          <w:sz w:val="24"/>
          <w:szCs w:val="24"/>
        </w:rPr>
        <w:t>, and the ‘</w:t>
      </w:r>
      <w:proofErr w:type="spellStart"/>
      <w:r w:rsidRPr="007F43F6">
        <w:rPr>
          <w:color w:val="000000"/>
          <w:sz w:val="24"/>
          <w:szCs w:val="24"/>
        </w:rPr>
        <w:t>Vidyotini</w:t>
      </w:r>
      <w:proofErr w:type="spellEnd"/>
      <w:r w:rsidRPr="007F43F6">
        <w:rPr>
          <w:color w:val="000000"/>
          <w:sz w:val="24"/>
          <w:szCs w:val="24"/>
        </w:rPr>
        <w:t xml:space="preserve">’ Hindi Commentary. Classic ed. Varanasi: </w:t>
      </w:r>
      <w:proofErr w:type="spellStart"/>
      <w:r w:rsidRPr="007F43F6">
        <w:rPr>
          <w:color w:val="000000"/>
          <w:sz w:val="24"/>
          <w:szCs w:val="24"/>
        </w:rPr>
        <w:t>Chaukhambha</w:t>
      </w:r>
      <w:proofErr w:type="spellEnd"/>
      <w:r w:rsidRPr="007F43F6">
        <w:rPr>
          <w:color w:val="000000"/>
          <w:sz w:val="24"/>
          <w:szCs w:val="24"/>
        </w:rPr>
        <w:t xml:space="preserve"> </w:t>
      </w:r>
      <w:proofErr w:type="spellStart"/>
      <w:r w:rsidRPr="007F43F6">
        <w:rPr>
          <w:color w:val="000000"/>
          <w:sz w:val="24"/>
          <w:szCs w:val="24"/>
        </w:rPr>
        <w:t>Prakashak</w:t>
      </w:r>
      <w:proofErr w:type="spellEnd"/>
      <w:r w:rsidRPr="007F43F6">
        <w:rPr>
          <w:color w:val="000000"/>
          <w:sz w:val="24"/>
          <w:szCs w:val="24"/>
        </w:rPr>
        <w:t>; 2024. Verses 1–35. Pp. 495–510.</w:t>
      </w:r>
    </w:p>
    <w:p w14:paraId="63185659" w14:textId="77777777" w:rsidR="00010568" w:rsidRPr="007F43F6" w:rsidRDefault="00010568" w:rsidP="00010568">
      <w:pPr>
        <w:pStyle w:val="ListParagraph"/>
        <w:rPr>
          <w:color w:val="000000"/>
          <w:sz w:val="24"/>
          <w:szCs w:val="24"/>
        </w:rPr>
      </w:pPr>
    </w:p>
    <w:p w14:paraId="24F615D8" w14:textId="2190D118" w:rsidR="002C6FB8" w:rsidRPr="007F43F6" w:rsidRDefault="002C6FB8" w:rsidP="003D33A6">
      <w:pPr>
        <w:pStyle w:val="ListParagraph"/>
        <w:numPr>
          <w:ilvl w:val="0"/>
          <w:numId w:val="3"/>
        </w:numPr>
        <w:jc w:val="both"/>
        <w:rPr>
          <w:color w:val="000000"/>
          <w:sz w:val="24"/>
          <w:szCs w:val="24"/>
        </w:rPr>
      </w:pPr>
      <w:proofErr w:type="spellStart"/>
      <w:r w:rsidRPr="007F43F6">
        <w:rPr>
          <w:color w:val="000000"/>
          <w:sz w:val="24"/>
          <w:szCs w:val="24"/>
        </w:rPr>
        <w:t>Vagbhata</w:t>
      </w:r>
      <w:proofErr w:type="spellEnd"/>
      <w:r w:rsidRPr="007F43F6">
        <w:rPr>
          <w:color w:val="000000"/>
          <w:sz w:val="24"/>
          <w:szCs w:val="24"/>
        </w:rPr>
        <w:t xml:space="preserve">. Ashtanga Hridaya, Nidana </w:t>
      </w:r>
      <w:proofErr w:type="spellStart"/>
      <w:r w:rsidRPr="007F43F6">
        <w:rPr>
          <w:color w:val="000000"/>
          <w:sz w:val="24"/>
          <w:szCs w:val="24"/>
        </w:rPr>
        <w:t>Sthana</w:t>
      </w:r>
      <w:proofErr w:type="spellEnd"/>
      <w:r w:rsidRPr="007F43F6">
        <w:rPr>
          <w:color w:val="000000"/>
          <w:sz w:val="24"/>
          <w:szCs w:val="24"/>
        </w:rPr>
        <w:t>, Chapter 16 (</w:t>
      </w:r>
      <w:proofErr w:type="spellStart"/>
      <w:r w:rsidRPr="007F43F6">
        <w:rPr>
          <w:color w:val="000000"/>
          <w:sz w:val="24"/>
          <w:szCs w:val="24"/>
        </w:rPr>
        <w:t>Vatashonita</w:t>
      </w:r>
      <w:proofErr w:type="spellEnd"/>
      <w:r w:rsidRPr="007F43F6">
        <w:rPr>
          <w:color w:val="000000"/>
          <w:sz w:val="24"/>
          <w:szCs w:val="24"/>
        </w:rPr>
        <w:t xml:space="preserve"> Nidana). In: Hari Sastri </w:t>
      </w:r>
      <w:proofErr w:type="spellStart"/>
      <w:r w:rsidRPr="007F43F6">
        <w:rPr>
          <w:color w:val="000000"/>
          <w:sz w:val="24"/>
          <w:szCs w:val="24"/>
        </w:rPr>
        <w:t>Paradkar</w:t>
      </w:r>
      <w:proofErr w:type="spellEnd"/>
      <w:r w:rsidRPr="007F43F6">
        <w:rPr>
          <w:color w:val="000000"/>
          <w:sz w:val="24"/>
          <w:szCs w:val="24"/>
        </w:rPr>
        <w:t xml:space="preserve"> Vaidya, editor. Ashtanga </w:t>
      </w:r>
      <w:proofErr w:type="spellStart"/>
      <w:r w:rsidRPr="007F43F6">
        <w:rPr>
          <w:color w:val="000000"/>
          <w:sz w:val="24"/>
          <w:szCs w:val="24"/>
        </w:rPr>
        <w:t>Hridayam</w:t>
      </w:r>
      <w:proofErr w:type="spellEnd"/>
      <w:r w:rsidRPr="007F43F6">
        <w:rPr>
          <w:color w:val="000000"/>
          <w:sz w:val="24"/>
          <w:szCs w:val="24"/>
        </w:rPr>
        <w:t xml:space="preserve"> of </w:t>
      </w:r>
      <w:proofErr w:type="spellStart"/>
      <w:r w:rsidRPr="007F43F6">
        <w:rPr>
          <w:color w:val="000000"/>
          <w:sz w:val="24"/>
          <w:szCs w:val="24"/>
        </w:rPr>
        <w:t>Vagbhata</w:t>
      </w:r>
      <w:proofErr w:type="spellEnd"/>
      <w:r w:rsidRPr="007F43F6">
        <w:rPr>
          <w:color w:val="000000"/>
          <w:sz w:val="24"/>
          <w:szCs w:val="24"/>
        </w:rPr>
        <w:t xml:space="preserve"> with the Commentaries </w:t>
      </w:r>
      <w:proofErr w:type="spellStart"/>
      <w:r w:rsidRPr="007F43F6">
        <w:rPr>
          <w:color w:val="000000"/>
          <w:sz w:val="24"/>
          <w:szCs w:val="24"/>
        </w:rPr>
        <w:t>Sarvangasundara</w:t>
      </w:r>
      <w:proofErr w:type="spellEnd"/>
      <w:r w:rsidRPr="007F43F6">
        <w:rPr>
          <w:color w:val="000000"/>
          <w:sz w:val="24"/>
          <w:szCs w:val="24"/>
        </w:rPr>
        <w:t xml:space="preserve"> of </w:t>
      </w:r>
      <w:proofErr w:type="spellStart"/>
      <w:r w:rsidRPr="007F43F6">
        <w:rPr>
          <w:color w:val="000000"/>
          <w:sz w:val="24"/>
          <w:szCs w:val="24"/>
        </w:rPr>
        <w:t>Arunadatta</w:t>
      </w:r>
      <w:proofErr w:type="spellEnd"/>
      <w:r w:rsidRPr="007F43F6">
        <w:rPr>
          <w:color w:val="000000"/>
          <w:sz w:val="24"/>
          <w:szCs w:val="24"/>
        </w:rPr>
        <w:t xml:space="preserve"> and </w:t>
      </w:r>
      <w:proofErr w:type="spellStart"/>
      <w:r w:rsidRPr="007F43F6">
        <w:rPr>
          <w:color w:val="000000"/>
          <w:sz w:val="24"/>
          <w:szCs w:val="24"/>
        </w:rPr>
        <w:t>Ayurvedarasayana</w:t>
      </w:r>
      <w:proofErr w:type="spellEnd"/>
      <w:r w:rsidRPr="007F43F6">
        <w:rPr>
          <w:color w:val="000000"/>
          <w:sz w:val="24"/>
          <w:szCs w:val="24"/>
        </w:rPr>
        <w:t xml:space="preserve"> of Hemadri. Varanasi: </w:t>
      </w:r>
      <w:proofErr w:type="spellStart"/>
      <w:r w:rsidRPr="007F43F6">
        <w:rPr>
          <w:color w:val="000000"/>
          <w:sz w:val="24"/>
          <w:szCs w:val="24"/>
        </w:rPr>
        <w:t>Chaukhamba</w:t>
      </w:r>
      <w:proofErr w:type="spellEnd"/>
      <w:r w:rsidRPr="007F43F6">
        <w:rPr>
          <w:color w:val="000000"/>
          <w:sz w:val="24"/>
          <w:szCs w:val="24"/>
        </w:rPr>
        <w:t xml:space="preserve"> Sanskrit </w:t>
      </w:r>
      <w:proofErr w:type="spellStart"/>
      <w:r w:rsidRPr="007F43F6">
        <w:rPr>
          <w:color w:val="000000"/>
          <w:sz w:val="24"/>
          <w:szCs w:val="24"/>
        </w:rPr>
        <w:t>Sansthan</w:t>
      </w:r>
      <w:proofErr w:type="spellEnd"/>
      <w:r w:rsidRPr="007F43F6">
        <w:rPr>
          <w:color w:val="000000"/>
          <w:sz w:val="24"/>
          <w:szCs w:val="24"/>
        </w:rPr>
        <w:t>; 2014. Pp. 537–543.</w:t>
      </w:r>
    </w:p>
    <w:p w14:paraId="2F25EC38" w14:textId="77777777" w:rsidR="002C6FB8" w:rsidRPr="007F43F6" w:rsidRDefault="002C6FB8" w:rsidP="002C6FB8">
      <w:pPr>
        <w:pStyle w:val="ListParagraph"/>
        <w:rPr>
          <w:color w:val="000000"/>
          <w:sz w:val="24"/>
          <w:szCs w:val="24"/>
        </w:rPr>
      </w:pPr>
    </w:p>
    <w:p w14:paraId="0C79371F" w14:textId="040A0054" w:rsidR="002C6FB8" w:rsidRPr="007F43F6" w:rsidRDefault="002C6FB8" w:rsidP="00A14DC6">
      <w:pPr>
        <w:pStyle w:val="ListParagraph"/>
        <w:numPr>
          <w:ilvl w:val="0"/>
          <w:numId w:val="3"/>
        </w:numPr>
        <w:jc w:val="both"/>
        <w:rPr>
          <w:color w:val="000000"/>
          <w:sz w:val="24"/>
          <w:szCs w:val="24"/>
        </w:rPr>
      </w:pPr>
      <w:proofErr w:type="spellStart"/>
      <w:r w:rsidRPr="007F43F6">
        <w:rPr>
          <w:color w:val="000000"/>
          <w:sz w:val="24"/>
          <w:szCs w:val="24"/>
        </w:rPr>
        <w:t>Vagbhata</w:t>
      </w:r>
      <w:proofErr w:type="spellEnd"/>
      <w:r w:rsidRPr="007F43F6">
        <w:rPr>
          <w:color w:val="000000"/>
          <w:sz w:val="24"/>
          <w:szCs w:val="24"/>
        </w:rPr>
        <w:t xml:space="preserve">. Ashtanga </w:t>
      </w:r>
      <w:proofErr w:type="spellStart"/>
      <w:r w:rsidRPr="007F43F6">
        <w:rPr>
          <w:color w:val="000000"/>
          <w:sz w:val="24"/>
          <w:szCs w:val="24"/>
        </w:rPr>
        <w:t>Sangraha</w:t>
      </w:r>
      <w:proofErr w:type="spellEnd"/>
      <w:r w:rsidRPr="007F43F6">
        <w:rPr>
          <w:color w:val="000000"/>
          <w:sz w:val="24"/>
          <w:szCs w:val="24"/>
        </w:rPr>
        <w:t xml:space="preserve">. </w:t>
      </w:r>
      <w:proofErr w:type="spellStart"/>
      <w:r w:rsidRPr="007F43F6">
        <w:rPr>
          <w:color w:val="000000"/>
          <w:sz w:val="24"/>
          <w:szCs w:val="24"/>
        </w:rPr>
        <w:t>Vatashonita</w:t>
      </w:r>
      <w:proofErr w:type="spellEnd"/>
      <w:r w:rsidRPr="007F43F6">
        <w:rPr>
          <w:color w:val="000000"/>
          <w:sz w:val="24"/>
          <w:szCs w:val="24"/>
        </w:rPr>
        <w:t xml:space="preserve"> </w:t>
      </w:r>
      <w:proofErr w:type="spellStart"/>
      <w:r w:rsidRPr="007F43F6">
        <w:rPr>
          <w:color w:val="000000"/>
          <w:sz w:val="24"/>
          <w:szCs w:val="24"/>
        </w:rPr>
        <w:t>Nidanam</w:t>
      </w:r>
      <w:proofErr w:type="spellEnd"/>
      <w:r w:rsidRPr="007F43F6">
        <w:rPr>
          <w:color w:val="000000"/>
          <w:sz w:val="24"/>
          <w:szCs w:val="24"/>
        </w:rPr>
        <w:t xml:space="preserve"> (Chapter 16). In: Shivprasad Sharma, editor. Ashtanga </w:t>
      </w:r>
      <w:proofErr w:type="spellStart"/>
      <w:r w:rsidRPr="007F43F6">
        <w:rPr>
          <w:color w:val="000000"/>
          <w:sz w:val="24"/>
          <w:szCs w:val="24"/>
        </w:rPr>
        <w:t>Sangraha</w:t>
      </w:r>
      <w:proofErr w:type="spellEnd"/>
      <w:r w:rsidRPr="007F43F6">
        <w:rPr>
          <w:color w:val="000000"/>
          <w:sz w:val="24"/>
          <w:szCs w:val="24"/>
        </w:rPr>
        <w:t xml:space="preserve"> of </w:t>
      </w:r>
      <w:proofErr w:type="spellStart"/>
      <w:r w:rsidRPr="007F43F6">
        <w:rPr>
          <w:color w:val="000000"/>
          <w:sz w:val="24"/>
          <w:szCs w:val="24"/>
        </w:rPr>
        <w:t>Vriddha</w:t>
      </w:r>
      <w:proofErr w:type="spellEnd"/>
      <w:r w:rsidRPr="007F43F6">
        <w:rPr>
          <w:color w:val="000000"/>
          <w:sz w:val="24"/>
          <w:szCs w:val="24"/>
        </w:rPr>
        <w:t xml:space="preserve"> </w:t>
      </w:r>
      <w:proofErr w:type="spellStart"/>
      <w:r w:rsidRPr="007F43F6">
        <w:rPr>
          <w:color w:val="000000"/>
          <w:sz w:val="24"/>
          <w:szCs w:val="24"/>
        </w:rPr>
        <w:t>Vagbhata</w:t>
      </w:r>
      <w:proofErr w:type="spellEnd"/>
      <w:r w:rsidRPr="007F43F6">
        <w:rPr>
          <w:color w:val="000000"/>
          <w:sz w:val="24"/>
          <w:szCs w:val="24"/>
        </w:rPr>
        <w:t xml:space="preserve"> with </w:t>
      </w:r>
      <w:proofErr w:type="spellStart"/>
      <w:r w:rsidRPr="007F43F6">
        <w:rPr>
          <w:color w:val="000000"/>
          <w:sz w:val="24"/>
          <w:szCs w:val="24"/>
        </w:rPr>
        <w:t>Sasilekha</w:t>
      </w:r>
      <w:proofErr w:type="spellEnd"/>
      <w:r w:rsidRPr="007F43F6">
        <w:rPr>
          <w:color w:val="000000"/>
          <w:sz w:val="24"/>
          <w:szCs w:val="24"/>
        </w:rPr>
        <w:t xml:space="preserve"> Sanskrit Commentary by Indu. Varanasi: </w:t>
      </w:r>
      <w:proofErr w:type="spellStart"/>
      <w:r w:rsidRPr="007F43F6">
        <w:rPr>
          <w:color w:val="000000"/>
          <w:sz w:val="24"/>
          <w:szCs w:val="24"/>
        </w:rPr>
        <w:t>Chaukhambha</w:t>
      </w:r>
      <w:proofErr w:type="spellEnd"/>
      <w:r w:rsidRPr="007F43F6">
        <w:rPr>
          <w:color w:val="000000"/>
          <w:sz w:val="24"/>
          <w:szCs w:val="24"/>
        </w:rPr>
        <w:t xml:space="preserve"> Sanskrit Series Office; 2006.</w:t>
      </w:r>
    </w:p>
    <w:p w14:paraId="60D82C05" w14:textId="77777777" w:rsidR="005845A7" w:rsidRPr="007F43F6" w:rsidRDefault="005845A7" w:rsidP="005845A7">
      <w:pPr>
        <w:jc w:val="both"/>
        <w:rPr>
          <w:color w:val="000000"/>
          <w:sz w:val="24"/>
          <w:szCs w:val="24"/>
        </w:rPr>
      </w:pPr>
    </w:p>
    <w:p w14:paraId="446A8768" w14:textId="7BF669A3" w:rsidR="002C6FB8" w:rsidRPr="007F43F6" w:rsidRDefault="002C6FB8" w:rsidP="005845A7">
      <w:pPr>
        <w:pStyle w:val="ListParagraph"/>
        <w:numPr>
          <w:ilvl w:val="0"/>
          <w:numId w:val="3"/>
        </w:numPr>
        <w:jc w:val="both"/>
        <w:rPr>
          <w:color w:val="000000"/>
          <w:sz w:val="24"/>
          <w:szCs w:val="24"/>
        </w:rPr>
      </w:pPr>
      <w:proofErr w:type="spellStart"/>
      <w:r w:rsidRPr="007F43F6">
        <w:rPr>
          <w:color w:val="000000"/>
          <w:sz w:val="24"/>
          <w:szCs w:val="24"/>
        </w:rPr>
        <w:t>Bhavamishra</w:t>
      </w:r>
      <w:proofErr w:type="spellEnd"/>
      <w:r w:rsidRPr="007F43F6">
        <w:rPr>
          <w:color w:val="000000"/>
          <w:sz w:val="24"/>
          <w:szCs w:val="24"/>
        </w:rPr>
        <w:t xml:space="preserve">. </w:t>
      </w:r>
      <w:proofErr w:type="spellStart"/>
      <w:r w:rsidRPr="007F43F6">
        <w:rPr>
          <w:color w:val="000000"/>
          <w:sz w:val="24"/>
          <w:szCs w:val="24"/>
        </w:rPr>
        <w:t>Bhāvaprakāśa</w:t>
      </w:r>
      <w:proofErr w:type="spellEnd"/>
      <w:r w:rsidRPr="007F43F6">
        <w:rPr>
          <w:color w:val="000000"/>
          <w:sz w:val="24"/>
          <w:szCs w:val="24"/>
        </w:rPr>
        <w:t xml:space="preserve"> (Madhyama Khaṇḍa, </w:t>
      </w:r>
      <w:proofErr w:type="spellStart"/>
      <w:r w:rsidRPr="007F43F6">
        <w:rPr>
          <w:color w:val="000000"/>
          <w:sz w:val="24"/>
          <w:szCs w:val="24"/>
        </w:rPr>
        <w:t>Vātarakta</w:t>
      </w:r>
      <w:proofErr w:type="spellEnd"/>
      <w:r w:rsidRPr="007F43F6">
        <w:rPr>
          <w:color w:val="000000"/>
          <w:sz w:val="24"/>
          <w:szCs w:val="24"/>
        </w:rPr>
        <w:t xml:space="preserve"> Adhikāra, Chapter 29, Verses 155-164). </w:t>
      </w:r>
      <w:proofErr w:type="spellStart"/>
      <w:r w:rsidRPr="007F43F6">
        <w:rPr>
          <w:color w:val="000000"/>
          <w:sz w:val="24"/>
          <w:szCs w:val="24"/>
        </w:rPr>
        <w:t>Srikantha</w:t>
      </w:r>
      <w:proofErr w:type="spellEnd"/>
      <w:r w:rsidRPr="007F43F6">
        <w:rPr>
          <w:color w:val="000000"/>
          <w:sz w:val="24"/>
          <w:szCs w:val="24"/>
        </w:rPr>
        <w:t xml:space="preserve"> Murthy KR, translator. Vol. 2. Varanasi: </w:t>
      </w:r>
      <w:proofErr w:type="spellStart"/>
      <w:r w:rsidRPr="007F43F6">
        <w:rPr>
          <w:color w:val="000000"/>
          <w:sz w:val="24"/>
          <w:szCs w:val="24"/>
        </w:rPr>
        <w:t>Chaukhambha</w:t>
      </w:r>
      <w:proofErr w:type="spellEnd"/>
      <w:r w:rsidRPr="007F43F6">
        <w:rPr>
          <w:color w:val="000000"/>
          <w:sz w:val="24"/>
          <w:szCs w:val="24"/>
        </w:rPr>
        <w:t xml:space="preserve"> Orientalia; 2010. P. 320.</w:t>
      </w:r>
    </w:p>
    <w:p w14:paraId="49BAFDAC" w14:textId="77777777" w:rsidR="00F20323" w:rsidRPr="007F43F6" w:rsidRDefault="00F20323" w:rsidP="00F20323">
      <w:pPr>
        <w:jc w:val="both"/>
        <w:rPr>
          <w:color w:val="000000"/>
          <w:sz w:val="24"/>
          <w:szCs w:val="24"/>
        </w:rPr>
      </w:pPr>
    </w:p>
    <w:p w14:paraId="0297FBDA" w14:textId="77F48821" w:rsidR="00F20323" w:rsidRPr="007F43F6" w:rsidRDefault="00F20323" w:rsidP="003D33A6">
      <w:pPr>
        <w:pStyle w:val="ListParagraph"/>
        <w:numPr>
          <w:ilvl w:val="0"/>
          <w:numId w:val="3"/>
        </w:numPr>
        <w:jc w:val="both"/>
        <w:rPr>
          <w:color w:val="000000"/>
          <w:sz w:val="24"/>
          <w:szCs w:val="24"/>
        </w:rPr>
      </w:pPr>
      <w:r w:rsidRPr="007F43F6">
        <w:rPr>
          <w:color w:val="000000"/>
          <w:sz w:val="24"/>
          <w:szCs w:val="24"/>
        </w:rPr>
        <w:t xml:space="preserve">Narang R, </w:t>
      </w:r>
      <w:proofErr w:type="spellStart"/>
      <w:r w:rsidRPr="007F43F6">
        <w:rPr>
          <w:color w:val="000000"/>
          <w:sz w:val="24"/>
          <w:szCs w:val="24"/>
        </w:rPr>
        <w:t>Dalbeth</w:t>
      </w:r>
      <w:proofErr w:type="spellEnd"/>
      <w:r w:rsidRPr="007F43F6">
        <w:rPr>
          <w:color w:val="000000"/>
          <w:sz w:val="24"/>
          <w:szCs w:val="24"/>
        </w:rPr>
        <w:t xml:space="preserve"> N. Pathophysiology of gout. Semin Nephrol. 2020;40(6):550–563. Doi:10.1016/j.semnephrol.2020.12.001.</w:t>
      </w:r>
    </w:p>
    <w:p w14:paraId="4C760B69" w14:textId="77777777" w:rsidR="00166FEC" w:rsidRPr="007F43F6" w:rsidRDefault="00166FEC" w:rsidP="00166FEC">
      <w:pPr>
        <w:jc w:val="both"/>
        <w:rPr>
          <w:color w:val="000000"/>
          <w:sz w:val="24"/>
          <w:szCs w:val="24"/>
        </w:rPr>
      </w:pPr>
    </w:p>
    <w:p w14:paraId="1A7338AF" w14:textId="61B75454" w:rsidR="00F20323" w:rsidRPr="007F43F6" w:rsidRDefault="00F20323" w:rsidP="00166FEC">
      <w:pPr>
        <w:pStyle w:val="ListParagraph"/>
        <w:numPr>
          <w:ilvl w:val="0"/>
          <w:numId w:val="3"/>
        </w:numPr>
        <w:jc w:val="both"/>
        <w:rPr>
          <w:color w:val="000000"/>
          <w:sz w:val="24"/>
          <w:szCs w:val="24"/>
        </w:rPr>
      </w:pPr>
      <w:proofErr w:type="spellStart"/>
      <w:r w:rsidRPr="007F43F6">
        <w:rPr>
          <w:color w:val="000000"/>
          <w:sz w:val="24"/>
          <w:szCs w:val="24"/>
        </w:rPr>
        <w:t>Dalbeth</w:t>
      </w:r>
      <w:proofErr w:type="spellEnd"/>
      <w:r w:rsidRPr="007F43F6">
        <w:rPr>
          <w:color w:val="000000"/>
          <w:sz w:val="24"/>
          <w:szCs w:val="24"/>
        </w:rPr>
        <w:t xml:space="preserve"> N, Merriman TR, Stamp LK. Gout. Lancet. 2016;388(10055):2039–2052. Doi:10.1016/S0140-6736(16)00346-9.</w:t>
      </w:r>
    </w:p>
    <w:p w14:paraId="2C19DCBB" w14:textId="77777777" w:rsidR="00166FEC" w:rsidRPr="007F43F6" w:rsidRDefault="00166FEC" w:rsidP="00166FEC">
      <w:pPr>
        <w:jc w:val="both"/>
        <w:rPr>
          <w:color w:val="000000"/>
          <w:sz w:val="24"/>
          <w:szCs w:val="24"/>
        </w:rPr>
      </w:pPr>
    </w:p>
    <w:p w14:paraId="29D4D391" w14:textId="43E00F67" w:rsidR="00F20323" w:rsidRPr="007F43F6" w:rsidRDefault="00F20323" w:rsidP="00166FEC">
      <w:pPr>
        <w:pStyle w:val="ListParagraph"/>
        <w:numPr>
          <w:ilvl w:val="0"/>
          <w:numId w:val="3"/>
        </w:numPr>
        <w:jc w:val="both"/>
        <w:rPr>
          <w:color w:val="000000"/>
          <w:sz w:val="24"/>
          <w:szCs w:val="24"/>
        </w:rPr>
      </w:pPr>
      <w:r w:rsidRPr="007F43F6">
        <w:rPr>
          <w:color w:val="000000"/>
          <w:sz w:val="24"/>
          <w:szCs w:val="24"/>
        </w:rPr>
        <w:t xml:space="preserve">Benn CL, Dua P, </w:t>
      </w:r>
      <w:proofErr w:type="spellStart"/>
      <w:r w:rsidRPr="007F43F6">
        <w:rPr>
          <w:color w:val="000000"/>
          <w:sz w:val="24"/>
          <w:szCs w:val="24"/>
        </w:rPr>
        <w:t>Gurrell</w:t>
      </w:r>
      <w:proofErr w:type="spellEnd"/>
      <w:r w:rsidRPr="007F43F6">
        <w:rPr>
          <w:color w:val="000000"/>
          <w:sz w:val="24"/>
          <w:szCs w:val="24"/>
        </w:rPr>
        <w:t xml:space="preserve"> R, et al. Physiology of hyperuricemia and urate-lowering treatments. Front Med (Lausanne). 2018;5:160. Doi:10.3389/fmed.2018.00160.</w:t>
      </w:r>
    </w:p>
    <w:p w14:paraId="64C522A3" w14:textId="77777777" w:rsidR="00F20323" w:rsidRPr="007F43F6" w:rsidRDefault="00F20323" w:rsidP="00F20323">
      <w:pPr>
        <w:jc w:val="both"/>
        <w:rPr>
          <w:color w:val="000000"/>
          <w:sz w:val="24"/>
          <w:szCs w:val="24"/>
        </w:rPr>
      </w:pPr>
    </w:p>
    <w:p w14:paraId="7C5EEA79" w14:textId="3055F670" w:rsidR="0060258F" w:rsidRPr="007F43F6" w:rsidRDefault="0060258F" w:rsidP="002C6FB8">
      <w:pPr>
        <w:pStyle w:val="ListParagraph"/>
        <w:numPr>
          <w:ilvl w:val="0"/>
          <w:numId w:val="3"/>
        </w:numPr>
        <w:jc w:val="both"/>
        <w:rPr>
          <w:color w:val="000000"/>
          <w:sz w:val="24"/>
          <w:szCs w:val="24"/>
        </w:rPr>
      </w:pPr>
      <w:r w:rsidRPr="007F43F6">
        <w:rPr>
          <w:color w:val="000000"/>
          <w:sz w:val="24"/>
          <w:szCs w:val="24"/>
        </w:rPr>
        <w:t>Richette P, Doherty M, Pascual E, et al. 2018 updated European League Against Rheumatism evidence-based recommendations for the diagnosis of gout. Ann Rheum Dis. 2020;79(1):31–38. Doi:10.1136/annrheumdis-2019-215315.</w:t>
      </w:r>
    </w:p>
    <w:p w14:paraId="11291B80" w14:textId="77777777" w:rsidR="0060258F" w:rsidRPr="007F43F6" w:rsidRDefault="0060258F" w:rsidP="0060258F">
      <w:pPr>
        <w:pStyle w:val="ListParagraph"/>
        <w:rPr>
          <w:color w:val="000000"/>
          <w:sz w:val="24"/>
          <w:szCs w:val="24"/>
        </w:rPr>
      </w:pPr>
    </w:p>
    <w:p w14:paraId="78348040" w14:textId="32DAEFE7" w:rsidR="0060258F" w:rsidRPr="007F43F6" w:rsidRDefault="0060258F" w:rsidP="000A6849">
      <w:pPr>
        <w:pStyle w:val="ListParagraph"/>
        <w:numPr>
          <w:ilvl w:val="0"/>
          <w:numId w:val="3"/>
        </w:numPr>
        <w:jc w:val="both"/>
        <w:rPr>
          <w:color w:val="000000"/>
          <w:sz w:val="24"/>
          <w:szCs w:val="24"/>
        </w:rPr>
      </w:pPr>
      <w:r w:rsidRPr="007F43F6">
        <w:rPr>
          <w:color w:val="000000"/>
          <w:sz w:val="24"/>
          <w:szCs w:val="24"/>
        </w:rPr>
        <w:t xml:space="preserve">Narang R, </w:t>
      </w:r>
      <w:proofErr w:type="spellStart"/>
      <w:r w:rsidRPr="007F43F6">
        <w:rPr>
          <w:color w:val="000000"/>
          <w:sz w:val="24"/>
          <w:szCs w:val="24"/>
        </w:rPr>
        <w:t>Dalbeth</w:t>
      </w:r>
      <w:proofErr w:type="spellEnd"/>
      <w:r w:rsidRPr="007F43F6">
        <w:rPr>
          <w:color w:val="000000"/>
          <w:sz w:val="24"/>
          <w:szCs w:val="24"/>
        </w:rPr>
        <w:t xml:space="preserve"> N. Pathophysiology of gout. Semin Nephrol. 2020;40(6):550–563. Doi:10.1016/j.semnephrol.2020.12.001.</w:t>
      </w:r>
    </w:p>
    <w:p w14:paraId="72E6DEA2" w14:textId="77777777" w:rsidR="0060258F" w:rsidRPr="007F43F6" w:rsidRDefault="0060258F" w:rsidP="000A6849">
      <w:pPr>
        <w:ind w:left="360"/>
        <w:jc w:val="both"/>
        <w:rPr>
          <w:color w:val="000000"/>
          <w:sz w:val="24"/>
          <w:szCs w:val="24"/>
        </w:rPr>
      </w:pPr>
    </w:p>
    <w:p w14:paraId="0E7A04A1" w14:textId="6B0AB370" w:rsidR="00FB2A19" w:rsidRPr="007F43F6" w:rsidRDefault="00FB2A19" w:rsidP="002C6FB8">
      <w:pPr>
        <w:pStyle w:val="ListParagraph"/>
        <w:numPr>
          <w:ilvl w:val="0"/>
          <w:numId w:val="3"/>
        </w:numPr>
        <w:jc w:val="both"/>
        <w:rPr>
          <w:color w:val="000000"/>
          <w:sz w:val="24"/>
          <w:szCs w:val="24"/>
        </w:rPr>
      </w:pPr>
      <w:proofErr w:type="spellStart"/>
      <w:r w:rsidRPr="007F43F6">
        <w:rPr>
          <w:color w:val="000000"/>
          <w:sz w:val="24"/>
          <w:szCs w:val="24"/>
        </w:rPr>
        <w:t>Dalbeth</w:t>
      </w:r>
      <w:proofErr w:type="spellEnd"/>
      <w:r w:rsidRPr="007F43F6">
        <w:rPr>
          <w:color w:val="000000"/>
          <w:sz w:val="24"/>
          <w:szCs w:val="24"/>
        </w:rPr>
        <w:t xml:space="preserve"> N, Merriman TR, Stamp LK. Gout. Lancet. 2016;388(10055):2039–2052. Doi:10.1016/S0140-6736(16)00346-9.</w:t>
      </w:r>
    </w:p>
    <w:p w14:paraId="42804E78" w14:textId="77777777" w:rsidR="00FB2A19" w:rsidRPr="007F43F6" w:rsidRDefault="00FB2A19" w:rsidP="00FB2A19">
      <w:pPr>
        <w:pStyle w:val="ListParagraph"/>
        <w:rPr>
          <w:color w:val="000000"/>
          <w:sz w:val="24"/>
          <w:szCs w:val="24"/>
        </w:rPr>
      </w:pPr>
    </w:p>
    <w:p w14:paraId="2E49267A" w14:textId="38EBE091" w:rsidR="00FB2A19" w:rsidRPr="007F43F6" w:rsidRDefault="00FB2A19" w:rsidP="005F7DB9">
      <w:pPr>
        <w:pStyle w:val="ListParagraph"/>
        <w:numPr>
          <w:ilvl w:val="0"/>
          <w:numId w:val="3"/>
        </w:numPr>
        <w:jc w:val="both"/>
        <w:rPr>
          <w:color w:val="000000"/>
          <w:sz w:val="24"/>
          <w:szCs w:val="24"/>
        </w:rPr>
      </w:pPr>
      <w:r w:rsidRPr="007F43F6">
        <w:rPr>
          <w:color w:val="000000"/>
          <w:sz w:val="24"/>
          <w:szCs w:val="24"/>
        </w:rPr>
        <w:t xml:space="preserve">Benn CL, Dua P, </w:t>
      </w:r>
      <w:proofErr w:type="spellStart"/>
      <w:r w:rsidRPr="007F43F6">
        <w:rPr>
          <w:color w:val="000000"/>
          <w:sz w:val="24"/>
          <w:szCs w:val="24"/>
        </w:rPr>
        <w:t>Gurrell</w:t>
      </w:r>
      <w:proofErr w:type="spellEnd"/>
      <w:r w:rsidRPr="007F43F6">
        <w:rPr>
          <w:color w:val="000000"/>
          <w:sz w:val="24"/>
          <w:szCs w:val="24"/>
        </w:rPr>
        <w:t xml:space="preserve"> R, et al. Physiology of hyperuricemia and urate-lowering treatments. Front Med (Lausanne). 2018;5:160. Doi:10.3389/fmed.2018.00160.</w:t>
      </w:r>
    </w:p>
    <w:p w14:paraId="0B91FC47" w14:textId="77777777" w:rsidR="005F7DB9" w:rsidRPr="007F43F6" w:rsidRDefault="005F7DB9" w:rsidP="005F7DB9">
      <w:pPr>
        <w:jc w:val="both"/>
        <w:rPr>
          <w:color w:val="000000"/>
          <w:sz w:val="24"/>
          <w:szCs w:val="24"/>
        </w:rPr>
      </w:pPr>
    </w:p>
    <w:p w14:paraId="2EE54986" w14:textId="226AD058" w:rsidR="008067AF" w:rsidRPr="007F43F6" w:rsidRDefault="008067AF" w:rsidP="002C6FB8">
      <w:pPr>
        <w:pStyle w:val="ListParagraph"/>
        <w:numPr>
          <w:ilvl w:val="0"/>
          <w:numId w:val="3"/>
        </w:numPr>
        <w:jc w:val="both"/>
        <w:rPr>
          <w:color w:val="000000"/>
          <w:sz w:val="24"/>
          <w:szCs w:val="24"/>
        </w:rPr>
      </w:pPr>
      <w:proofErr w:type="spellStart"/>
      <w:r w:rsidRPr="007F43F6">
        <w:rPr>
          <w:color w:val="000000"/>
          <w:sz w:val="24"/>
          <w:szCs w:val="24"/>
        </w:rPr>
        <w:t>Neogi</w:t>
      </w:r>
      <w:proofErr w:type="spellEnd"/>
      <w:r w:rsidRPr="007F43F6">
        <w:rPr>
          <w:color w:val="000000"/>
          <w:sz w:val="24"/>
          <w:szCs w:val="24"/>
        </w:rPr>
        <w:t xml:space="preserve"> T, Jansen TLTA, </w:t>
      </w:r>
      <w:proofErr w:type="spellStart"/>
      <w:r w:rsidRPr="007F43F6">
        <w:rPr>
          <w:color w:val="000000"/>
          <w:sz w:val="24"/>
          <w:szCs w:val="24"/>
        </w:rPr>
        <w:t>Dalbeth</w:t>
      </w:r>
      <w:proofErr w:type="spellEnd"/>
      <w:r w:rsidRPr="007F43F6">
        <w:rPr>
          <w:color w:val="000000"/>
          <w:sz w:val="24"/>
          <w:szCs w:val="24"/>
        </w:rPr>
        <w:t xml:space="preserve"> N, et al. 2015 Gout classification criteria: an American College of Rheumatology/European League Against Rheumatism collaborative initiative. Arthritis </w:t>
      </w:r>
      <w:proofErr w:type="spellStart"/>
      <w:r w:rsidRPr="007F43F6">
        <w:rPr>
          <w:color w:val="000000"/>
          <w:sz w:val="24"/>
          <w:szCs w:val="24"/>
        </w:rPr>
        <w:t>Rheumatol</w:t>
      </w:r>
      <w:proofErr w:type="spellEnd"/>
      <w:r w:rsidRPr="007F43F6">
        <w:rPr>
          <w:color w:val="000000"/>
          <w:sz w:val="24"/>
          <w:szCs w:val="24"/>
        </w:rPr>
        <w:t>. 2015;67(10):2557–2568. Doi:10.1002/art.39254.</w:t>
      </w:r>
    </w:p>
    <w:p w14:paraId="2D4266C8" w14:textId="77777777" w:rsidR="008067AF" w:rsidRPr="007F43F6" w:rsidRDefault="008067AF" w:rsidP="008067AF">
      <w:pPr>
        <w:pStyle w:val="ListParagraph"/>
        <w:rPr>
          <w:color w:val="000000"/>
          <w:sz w:val="24"/>
          <w:szCs w:val="24"/>
        </w:rPr>
      </w:pPr>
    </w:p>
    <w:p w14:paraId="264E067B" w14:textId="593F8EFA" w:rsidR="00082771" w:rsidRPr="007F43F6" w:rsidRDefault="00082771" w:rsidP="002C6FB8">
      <w:pPr>
        <w:pStyle w:val="ListParagraph"/>
        <w:numPr>
          <w:ilvl w:val="0"/>
          <w:numId w:val="3"/>
        </w:numPr>
        <w:jc w:val="both"/>
        <w:rPr>
          <w:color w:val="000000"/>
          <w:sz w:val="24"/>
          <w:szCs w:val="24"/>
        </w:rPr>
      </w:pPr>
      <w:r w:rsidRPr="007F43F6">
        <w:rPr>
          <w:color w:val="000000"/>
          <w:sz w:val="24"/>
          <w:szCs w:val="24"/>
        </w:rPr>
        <w:t>Richette P, Doherty M, Pascual E, et al. 2018 updated European League Against Rheumatism evidence-based recommendations for the diagnosis of gout. Ann Rheum Dis. 2020;79(1):31–38. Doi:10.1136/annrheumdis-2019-215315.</w:t>
      </w:r>
    </w:p>
    <w:p w14:paraId="1A5B5F26" w14:textId="77777777" w:rsidR="00082771" w:rsidRPr="007F43F6" w:rsidRDefault="00082771" w:rsidP="00082771">
      <w:pPr>
        <w:pStyle w:val="ListParagraph"/>
        <w:rPr>
          <w:color w:val="000000"/>
          <w:sz w:val="24"/>
          <w:szCs w:val="24"/>
        </w:rPr>
      </w:pPr>
    </w:p>
    <w:p w14:paraId="442C595B" w14:textId="6BA14E84" w:rsidR="00016FF5" w:rsidRPr="007F43F6" w:rsidRDefault="00016FF5" w:rsidP="002C6FB8">
      <w:pPr>
        <w:pStyle w:val="ListParagraph"/>
        <w:numPr>
          <w:ilvl w:val="0"/>
          <w:numId w:val="3"/>
        </w:numPr>
        <w:jc w:val="both"/>
        <w:rPr>
          <w:color w:val="000000"/>
          <w:sz w:val="24"/>
          <w:szCs w:val="24"/>
        </w:rPr>
      </w:pPr>
      <w:proofErr w:type="spellStart"/>
      <w:r w:rsidRPr="007F43F6">
        <w:rPr>
          <w:color w:val="000000"/>
          <w:sz w:val="24"/>
          <w:szCs w:val="24"/>
        </w:rPr>
        <w:t>Gessl</w:t>
      </w:r>
      <w:proofErr w:type="spellEnd"/>
      <w:r w:rsidRPr="007F43F6">
        <w:rPr>
          <w:color w:val="000000"/>
          <w:sz w:val="24"/>
          <w:szCs w:val="24"/>
        </w:rPr>
        <w:t xml:space="preserve"> I, Sakellariou G, Wildner B, </w:t>
      </w:r>
      <w:proofErr w:type="spellStart"/>
      <w:r w:rsidRPr="007F43F6">
        <w:rPr>
          <w:color w:val="000000"/>
          <w:sz w:val="24"/>
          <w:szCs w:val="24"/>
        </w:rPr>
        <w:t>Dejaco</w:t>
      </w:r>
      <w:proofErr w:type="spellEnd"/>
      <w:r w:rsidRPr="007F43F6">
        <w:rPr>
          <w:color w:val="000000"/>
          <w:sz w:val="24"/>
          <w:szCs w:val="24"/>
        </w:rPr>
        <w:t xml:space="preserve"> C, </w:t>
      </w:r>
      <w:proofErr w:type="spellStart"/>
      <w:r w:rsidRPr="007F43F6">
        <w:rPr>
          <w:color w:val="000000"/>
          <w:sz w:val="24"/>
          <w:szCs w:val="24"/>
        </w:rPr>
        <w:t>Duftner</w:t>
      </w:r>
      <w:proofErr w:type="spellEnd"/>
      <w:r w:rsidRPr="007F43F6">
        <w:rPr>
          <w:color w:val="000000"/>
          <w:sz w:val="24"/>
          <w:szCs w:val="24"/>
        </w:rPr>
        <w:t xml:space="preserve"> C, </w:t>
      </w:r>
      <w:proofErr w:type="spellStart"/>
      <w:r w:rsidRPr="007F43F6">
        <w:rPr>
          <w:color w:val="000000"/>
          <w:sz w:val="24"/>
          <w:szCs w:val="24"/>
        </w:rPr>
        <w:t>Karalilova</w:t>
      </w:r>
      <w:proofErr w:type="spellEnd"/>
      <w:r w:rsidRPr="007F43F6">
        <w:rPr>
          <w:color w:val="000000"/>
          <w:sz w:val="24"/>
          <w:szCs w:val="24"/>
        </w:rPr>
        <w:t xml:space="preserve"> R, et al. Systematic literature review to inform the EULAR recommendations for the use of imaging in crystal-induced arthropathies in clinical practice. Ann Rheum Dis. 2024;83(9):1208–1224. Doi:10.1136/ard-2023-225247.</w:t>
      </w:r>
    </w:p>
    <w:p w14:paraId="01C16AE5" w14:textId="77777777" w:rsidR="00016FF5" w:rsidRPr="007F43F6" w:rsidRDefault="00016FF5" w:rsidP="003D33A6">
      <w:pPr>
        <w:jc w:val="both"/>
        <w:rPr>
          <w:color w:val="000000"/>
          <w:sz w:val="24"/>
          <w:szCs w:val="24"/>
        </w:rPr>
      </w:pPr>
    </w:p>
    <w:p w14:paraId="09E3FB37" w14:textId="58FC6AD8" w:rsidR="0052262E" w:rsidRPr="007F43F6" w:rsidRDefault="0052262E" w:rsidP="003D33A6">
      <w:pPr>
        <w:pStyle w:val="ListParagraph"/>
        <w:numPr>
          <w:ilvl w:val="0"/>
          <w:numId w:val="3"/>
        </w:numPr>
        <w:jc w:val="both"/>
        <w:rPr>
          <w:color w:val="000000"/>
          <w:sz w:val="24"/>
          <w:szCs w:val="24"/>
        </w:rPr>
      </w:pPr>
      <w:proofErr w:type="spellStart"/>
      <w:r w:rsidRPr="007F43F6">
        <w:rPr>
          <w:color w:val="000000"/>
          <w:sz w:val="24"/>
          <w:szCs w:val="24"/>
        </w:rPr>
        <w:t>Filippucci</w:t>
      </w:r>
      <w:proofErr w:type="spellEnd"/>
      <w:r w:rsidRPr="007F43F6">
        <w:rPr>
          <w:color w:val="000000"/>
          <w:sz w:val="24"/>
          <w:szCs w:val="24"/>
        </w:rPr>
        <w:t xml:space="preserve"> E, Reginato A, Thiele R. Imaging of crystalline arthropathy in 2020. Best </w:t>
      </w:r>
      <w:proofErr w:type="spellStart"/>
      <w:r w:rsidRPr="007F43F6">
        <w:rPr>
          <w:color w:val="000000"/>
          <w:sz w:val="24"/>
          <w:szCs w:val="24"/>
        </w:rPr>
        <w:t>Pract</w:t>
      </w:r>
      <w:proofErr w:type="spellEnd"/>
      <w:r w:rsidRPr="007F43F6">
        <w:rPr>
          <w:color w:val="000000"/>
          <w:sz w:val="24"/>
          <w:szCs w:val="24"/>
        </w:rPr>
        <w:t xml:space="preserve"> Res Clin </w:t>
      </w:r>
      <w:proofErr w:type="spellStart"/>
      <w:r w:rsidRPr="007F43F6">
        <w:rPr>
          <w:color w:val="000000"/>
          <w:sz w:val="24"/>
          <w:szCs w:val="24"/>
        </w:rPr>
        <w:t>Rheumatol</w:t>
      </w:r>
      <w:proofErr w:type="spellEnd"/>
      <w:r w:rsidRPr="007F43F6">
        <w:rPr>
          <w:color w:val="000000"/>
          <w:sz w:val="24"/>
          <w:szCs w:val="24"/>
        </w:rPr>
        <w:t>. 2020;34(6):101595. Doi:10.1016/j.berh.2020.101595.</w:t>
      </w:r>
    </w:p>
    <w:p w14:paraId="0A2915F8" w14:textId="77777777" w:rsidR="0052262E" w:rsidRPr="007F43F6" w:rsidRDefault="0052262E" w:rsidP="0052262E">
      <w:pPr>
        <w:pStyle w:val="ListParagraph"/>
        <w:rPr>
          <w:color w:val="000000"/>
          <w:sz w:val="24"/>
          <w:szCs w:val="24"/>
        </w:rPr>
      </w:pPr>
    </w:p>
    <w:p w14:paraId="08BBE54F" w14:textId="54A870DA" w:rsidR="0047167B" w:rsidRPr="007F43F6" w:rsidRDefault="007C0D12" w:rsidP="003D33A6">
      <w:pPr>
        <w:pStyle w:val="ListParagraph"/>
        <w:numPr>
          <w:ilvl w:val="0"/>
          <w:numId w:val="3"/>
        </w:numPr>
        <w:jc w:val="both"/>
        <w:rPr>
          <w:color w:val="000000"/>
          <w:sz w:val="24"/>
          <w:szCs w:val="24"/>
        </w:rPr>
      </w:pPr>
      <w:r w:rsidRPr="007F43F6">
        <w:rPr>
          <w:color w:val="000000"/>
          <w:sz w:val="24"/>
          <w:szCs w:val="24"/>
        </w:rPr>
        <w:t xml:space="preserve">Singh A, Mahajan S, Tiwari A, Mahajan K. A Conceptual Study on </w:t>
      </w:r>
      <w:proofErr w:type="spellStart"/>
      <w:r w:rsidRPr="007F43F6">
        <w:rPr>
          <w:color w:val="000000"/>
          <w:sz w:val="24"/>
          <w:szCs w:val="24"/>
        </w:rPr>
        <w:t>Vatarakta</w:t>
      </w:r>
      <w:proofErr w:type="spellEnd"/>
      <w:r w:rsidRPr="007F43F6">
        <w:rPr>
          <w:color w:val="000000"/>
          <w:sz w:val="24"/>
          <w:szCs w:val="24"/>
        </w:rPr>
        <w:t xml:space="preserve"> </w:t>
      </w:r>
      <w:proofErr w:type="spellStart"/>
      <w:r w:rsidRPr="007F43F6">
        <w:rPr>
          <w:color w:val="000000"/>
          <w:sz w:val="24"/>
          <w:szCs w:val="24"/>
        </w:rPr>
        <w:t>w.s.r</w:t>
      </w:r>
      <w:proofErr w:type="spellEnd"/>
      <w:r w:rsidRPr="007F43F6">
        <w:rPr>
          <w:color w:val="000000"/>
          <w:sz w:val="24"/>
          <w:szCs w:val="24"/>
        </w:rPr>
        <w:t xml:space="preserve">. to Gouty Arthritis. AYUSHDHARA. 2024;11(3):70–78. Available from: </w:t>
      </w:r>
      <w:hyperlink r:id="rId8" w:history="1">
        <w:r w:rsidR="0047167B" w:rsidRPr="007F43F6">
          <w:rPr>
            <w:rStyle w:val="Hyperlink"/>
            <w:sz w:val="24"/>
            <w:szCs w:val="24"/>
          </w:rPr>
          <w:t>https://ayushdhara.in/index.php/ayushdhara/article/view/1560</w:t>
        </w:r>
      </w:hyperlink>
      <w:r w:rsidRPr="007F43F6">
        <w:rPr>
          <w:color w:val="000000"/>
          <w:sz w:val="24"/>
          <w:szCs w:val="24"/>
        </w:rPr>
        <w:t>.</w:t>
      </w:r>
    </w:p>
    <w:p w14:paraId="5DB6D493" w14:textId="77777777" w:rsidR="0047167B" w:rsidRPr="007F43F6" w:rsidRDefault="0047167B" w:rsidP="0047167B">
      <w:pPr>
        <w:pStyle w:val="ListParagraph"/>
        <w:rPr>
          <w:color w:val="000000"/>
          <w:sz w:val="24"/>
          <w:szCs w:val="24"/>
        </w:rPr>
      </w:pPr>
    </w:p>
    <w:p w14:paraId="1977DCD9" w14:textId="703CDE62" w:rsidR="00D459AA" w:rsidRPr="007F43F6" w:rsidRDefault="00D459AA" w:rsidP="003D33A6">
      <w:pPr>
        <w:pStyle w:val="ListParagraph"/>
        <w:numPr>
          <w:ilvl w:val="0"/>
          <w:numId w:val="3"/>
        </w:numPr>
        <w:jc w:val="both"/>
        <w:rPr>
          <w:color w:val="000000"/>
          <w:sz w:val="24"/>
          <w:szCs w:val="24"/>
        </w:rPr>
      </w:pPr>
      <w:r w:rsidRPr="007F43F6">
        <w:rPr>
          <w:color w:val="000000"/>
          <w:sz w:val="24"/>
          <w:szCs w:val="24"/>
        </w:rPr>
        <w:t>Rosenthal AK, Ryan LM. Calcium Pyrophosphate Deposition Disease. N Engl J Med. 2016 Jun 30;374(26):2575-2584. Doi: 10.1056/NEJMra1511117.</w:t>
      </w:r>
    </w:p>
    <w:p w14:paraId="2D73660D" w14:textId="77777777" w:rsidR="00914689" w:rsidRPr="007F43F6" w:rsidRDefault="00914689" w:rsidP="00914689">
      <w:pPr>
        <w:jc w:val="both"/>
        <w:rPr>
          <w:color w:val="000000"/>
          <w:sz w:val="24"/>
          <w:szCs w:val="24"/>
        </w:rPr>
      </w:pPr>
    </w:p>
    <w:p w14:paraId="7920BA89" w14:textId="77777777" w:rsidR="00BD4BDC" w:rsidRPr="007F43F6" w:rsidRDefault="00BD4BDC" w:rsidP="00914689">
      <w:pPr>
        <w:jc w:val="both"/>
        <w:rPr>
          <w:color w:val="000000"/>
          <w:sz w:val="24"/>
          <w:szCs w:val="24"/>
        </w:rPr>
      </w:pPr>
    </w:p>
    <w:p w14:paraId="771B5D7B" w14:textId="77777777" w:rsidR="00BD4BDC" w:rsidRPr="007F43F6" w:rsidRDefault="00BD4BDC" w:rsidP="00914689">
      <w:pPr>
        <w:jc w:val="both"/>
        <w:rPr>
          <w:color w:val="000000"/>
          <w:sz w:val="24"/>
          <w:szCs w:val="24"/>
        </w:rPr>
      </w:pPr>
    </w:p>
    <w:p w14:paraId="3AE4D348" w14:textId="77777777" w:rsidR="00BD4BDC" w:rsidRPr="007F43F6" w:rsidRDefault="00BD4BDC" w:rsidP="00914689">
      <w:pPr>
        <w:jc w:val="both"/>
        <w:rPr>
          <w:color w:val="000000"/>
          <w:sz w:val="24"/>
          <w:szCs w:val="24"/>
        </w:rPr>
      </w:pPr>
    </w:p>
    <w:p w14:paraId="0ECAF18E" w14:textId="77777777" w:rsidR="00BD4BDC" w:rsidRPr="007F43F6" w:rsidRDefault="00BD4BDC" w:rsidP="00914689">
      <w:pPr>
        <w:jc w:val="both"/>
        <w:rPr>
          <w:color w:val="000000"/>
          <w:sz w:val="24"/>
          <w:szCs w:val="24"/>
        </w:rPr>
      </w:pPr>
    </w:p>
    <w:p w14:paraId="41F35F3A" w14:textId="77777777" w:rsidR="00BD4BDC" w:rsidRPr="007F43F6" w:rsidRDefault="00BD4BDC" w:rsidP="00914689">
      <w:pPr>
        <w:jc w:val="both"/>
        <w:rPr>
          <w:color w:val="000000"/>
          <w:sz w:val="24"/>
          <w:szCs w:val="24"/>
        </w:rPr>
      </w:pPr>
    </w:p>
    <w:p w14:paraId="796A0451" w14:textId="77777777" w:rsidR="00BD4BDC" w:rsidRPr="007F43F6" w:rsidRDefault="00BD4BDC" w:rsidP="00914689">
      <w:pPr>
        <w:jc w:val="both"/>
        <w:rPr>
          <w:color w:val="000000"/>
          <w:sz w:val="24"/>
          <w:szCs w:val="24"/>
        </w:rPr>
      </w:pPr>
    </w:p>
    <w:p w14:paraId="407F31B5" w14:textId="77777777" w:rsidR="00BD4BDC" w:rsidRPr="007F43F6" w:rsidRDefault="00BD4BDC" w:rsidP="00914689">
      <w:pPr>
        <w:jc w:val="both"/>
        <w:rPr>
          <w:color w:val="000000"/>
          <w:sz w:val="24"/>
          <w:szCs w:val="24"/>
        </w:rPr>
      </w:pPr>
    </w:p>
    <w:p w14:paraId="7E95EA53" w14:textId="77777777" w:rsidR="00BD4BDC" w:rsidRPr="007F43F6" w:rsidRDefault="00BD4BDC" w:rsidP="00914689">
      <w:pPr>
        <w:jc w:val="both"/>
        <w:rPr>
          <w:color w:val="000000"/>
          <w:sz w:val="24"/>
          <w:szCs w:val="24"/>
        </w:rPr>
      </w:pPr>
    </w:p>
    <w:p w14:paraId="5E1C0516" w14:textId="77777777" w:rsidR="00BD4BDC" w:rsidRPr="007F43F6" w:rsidRDefault="00BD4BDC" w:rsidP="00914689">
      <w:pPr>
        <w:jc w:val="both"/>
        <w:rPr>
          <w:color w:val="000000"/>
          <w:sz w:val="24"/>
          <w:szCs w:val="24"/>
        </w:rPr>
      </w:pPr>
    </w:p>
    <w:p w14:paraId="24083D40" w14:textId="77777777" w:rsidR="00BD4BDC" w:rsidRPr="007F43F6" w:rsidRDefault="00BD4BDC" w:rsidP="00914689">
      <w:pPr>
        <w:jc w:val="both"/>
        <w:rPr>
          <w:color w:val="000000"/>
          <w:sz w:val="24"/>
          <w:szCs w:val="24"/>
        </w:rPr>
      </w:pPr>
    </w:p>
    <w:p w14:paraId="28700230" w14:textId="77777777" w:rsidR="00BD4BDC" w:rsidRPr="007F43F6" w:rsidRDefault="00BD4BDC" w:rsidP="00914689">
      <w:pPr>
        <w:jc w:val="both"/>
        <w:rPr>
          <w:color w:val="000000"/>
          <w:sz w:val="24"/>
          <w:szCs w:val="24"/>
        </w:rPr>
      </w:pPr>
    </w:p>
    <w:p w14:paraId="552BC2FD" w14:textId="77777777" w:rsidR="00BD4BDC" w:rsidRPr="007F43F6" w:rsidRDefault="00BD4BDC" w:rsidP="00914689">
      <w:pPr>
        <w:jc w:val="both"/>
        <w:rPr>
          <w:color w:val="000000"/>
          <w:sz w:val="24"/>
          <w:szCs w:val="24"/>
        </w:rPr>
      </w:pPr>
    </w:p>
    <w:p w14:paraId="72A2EF17" w14:textId="77777777" w:rsidR="00BD4BDC" w:rsidRPr="007F43F6" w:rsidRDefault="00BD4BDC" w:rsidP="00914689">
      <w:pPr>
        <w:jc w:val="both"/>
        <w:rPr>
          <w:color w:val="000000"/>
          <w:sz w:val="24"/>
          <w:szCs w:val="24"/>
        </w:rPr>
      </w:pPr>
    </w:p>
    <w:p w14:paraId="7C126B98" w14:textId="77777777" w:rsidR="00BD4BDC" w:rsidRPr="007F43F6" w:rsidRDefault="00BD4BDC" w:rsidP="00914689">
      <w:pPr>
        <w:jc w:val="both"/>
        <w:rPr>
          <w:color w:val="000000"/>
          <w:sz w:val="24"/>
          <w:szCs w:val="24"/>
        </w:rPr>
      </w:pPr>
    </w:p>
    <w:p w14:paraId="1C526F0E" w14:textId="77777777" w:rsidR="00BD4BDC" w:rsidRPr="007F43F6" w:rsidRDefault="00BD4BDC" w:rsidP="00914689">
      <w:pPr>
        <w:jc w:val="both"/>
        <w:rPr>
          <w:color w:val="000000"/>
          <w:sz w:val="24"/>
          <w:szCs w:val="24"/>
        </w:rPr>
      </w:pPr>
    </w:p>
    <w:p w14:paraId="101F9351" w14:textId="77777777" w:rsidR="00BD4BDC" w:rsidRPr="007F43F6" w:rsidRDefault="00BD4BDC" w:rsidP="00914689">
      <w:pPr>
        <w:jc w:val="both"/>
        <w:rPr>
          <w:color w:val="000000"/>
          <w:sz w:val="24"/>
          <w:szCs w:val="24"/>
        </w:rPr>
      </w:pPr>
    </w:p>
    <w:p w14:paraId="4AA35D8F" w14:textId="77777777" w:rsidR="00BD4BDC" w:rsidRPr="007F43F6" w:rsidRDefault="00BD4BDC" w:rsidP="00914689">
      <w:pPr>
        <w:jc w:val="both"/>
        <w:rPr>
          <w:color w:val="000000"/>
          <w:sz w:val="24"/>
          <w:szCs w:val="24"/>
        </w:rPr>
      </w:pPr>
    </w:p>
    <w:p w14:paraId="292C637E" w14:textId="77777777" w:rsidR="00BD4BDC" w:rsidRPr="007F43F6" w:rsidRDefault="00BD4BDC" w:rsidP="00914689">
      <w:pPr>
        <w:jc w:val="both"/>
        <w:rPr>
          <w:color w:val="000000"/>
          <w:sz w:val="24"/>
          <w:szCs w:val="24"/>
        </w:rPr>
      </w:pPr>
    </w:p>
    <w:p w14:paraId="1E33672E" w14:textId="77777777" w:rsidR="00BD4BDC" w:rsidRPr="007F43F6" w:rsidRDefault="00BD4BDC" w:rsidP="00914689">
      <w:pPr>
        <w:jc w:val="both"/>
        <w:rPr>
          <w:color w:val="000000"/>
          <w:sz w:val="24"/>
          <w:szCs w:val="24"/>
        </w:rPr>
      </w:pPr>
    </w:p>
    <w:p w14:paraId="5DC7077C" w14:textId="77777777" w:rsidR="00BD4BDC" w:rsidRPr="007F43F6" w:rsidRDefault="00BD4BDC" w:rsidP="00914689">
      <w:pPr>
        <w:jc w:val="both"/>
        <w:rPr>
          <w:color w:val="000000"/>
          <w:sz w:val="24"/>
          <w:szCs w:val="24"/>
        </w:rPr>
      </w:pPr>
    </w:p>
    <w:p w14:paraId="6D59E8BC" w14:textId="77777777" w:rsidR="00BD4BDC" w:rsidRPr="007F43F6" w:rsidRDefault="00BD4BDC" w:rsidP="00914689">
      <w:pPr>
        <w:jc w:val="both"/>
        <w:rPr>
          <w:color w:val="000000"/>
          <w:sz w:val="24"/>
          <w:szCs w:val="24"/>
        </w:rPr>
      </w:pPr>
    </w:p>
    <w:p w14:paraId="661DCB0B" w14:textId="77777777" w:rsidR="00BD4BDC" w:rsidRPr="007F43F6" w:rsidRDefault="00BD4BDC" w:rsidP="00914689">
      <w:pPr>
        <w:jc w:val="both"/>
        <w:rPr>
          <w:color w:val="000000"/>
          <w:sz w:val="24"/>
          <w:szCs w:val="24"/>
        </w:rPr>
      </w:pPr>
    </w:p>
    <w:p w14:paraId="39D5EF29" w14:textId="77777777" w:rsidR="00BD4BDC" w:rsidRPr="007F43F6" w:rsidRDefault="00BD4BDC" w:rsidP="00914689">
      <w:pPr>
        <w:jc w:val="both"/>
        <w:rPr>
          <w:color w:val="000000"/>
          <w:sz w:val="24"/>
          <w:szCs w:val="24"/>
        </w:rPr>
      </w:pPr>
    </w:p>
    <w:p w14:paraId="6F3A3EF0" w14:textId="77777777" w:rsidR="00BD4BDC" w:rsidRPr="007F43F6" w:rsidRDefault="00BD4BDC" w:rsidP="00914689">
      <w:pPr>
        <w:jc w:val="both"/>
        <w:rPr>
          <w:color w:val="000000"/>
          <w:sz w:val="24"/>
          <w:szCs w:val="24"/>
        </w:rPr>
      </w:pPr>
    </w:p>
    <w:p w14:paraId="570D5721" w14:textId="77777777" w:rsidR="00BD4BDC" w:rsidRPr="007F43F6" w:rsidRDefault="00BD4BDC" w:rsidP="00914689">
      <w:pPr>
        <w:jc w:val="both"/>
        <w:rPr>
          <w:color w:val="000000"/>
          <w:sz w:val="24"/>
          <w:szCs w:val="24"/>
        </w:rPr>
      </w:pPr>
    </w:p>
    <w:p w14:paraId="31067E5A" w14:textId="77777777" w:rsidR="00BD4BDC" w:rsidRPr="007F43F6" w:rsidRDefault="00BD4BDC" w:rsidP="00914689">
      <w:pPr>
        <w:jc w:val="both"/>
        <w:rPr>
          <w:color w:val="000000"/>
          <w:sz w:val="24"/>
          <w:szCs w:val="24"/>
        </w:rPr>
      </w:pPr>
    </w:p>
    <w:p w14:paraId="068CB080" w14:textId="77777777" w:rsidR="00773CA6" w:rsidRPr="007F43F6" w:rsidRDefault="00773CA6" w:rsidP="00265626">
      <w:pPr>
        <w:pBdr>
          <w:bottom w:val="single" w:sz="6" w:space="1" w:color="auto"/>
        </w:pBdr>
        <w:spacing w:line="360" w:lineRule="auto"/>
        <w:jc w:val="both"/>
        <w:rPr>
          <w:color w:val="000000"/>
          <w:sz w:val="24"/>
          <w:szCs w:val="24"/>
        </w:rPr>
      </w:pPr>
    </w:p>
    <w:p w14:paraId="04CC8766" w14:textId="77777777" w:rsidR="00773CA6" w:rsidRPr="007F43F6" w:rsidRDefault="00773CA6" w:rsidP="00265626">
      <w:pPr>
        <w:pBdr>
          <w:bottom w:val="single" w:sz="6" w:space="1" w:color="auto"/>
        </w:pBdr>
        <w:spacing w:line="360" w:lineRule="auto"/>
        <w:jc w:val="both"/>
        <w:rPr>
          <w:color w:val="000000"/>
          <w:sz w:val="24"/>
          <w:szCs w:val="24"/>
        </w:rPr>
      </w:pPr>
    </w:p>
    <w:p w14:paraId="1A8FCB96" w14:textId="77777777" w:rsidR="00773CA6" w:rsidRPr="007F43F6" w:rsidRDefault="00773CA6" w:rsidP="00265626">
      <w:pPr>
        <w:pBdr>
          <w:bottom w:val="single" w:sz="6" w:space="1" w:color="auto"/>
        </w:pBdr>
        <w:spacing w:line="360" w:lineRule="auto"/>
        <w:jc w:val="both"/>
        <w:rPr>
          <w:color w:val="000000"/>
          <w:sz w:val="24"/>
          <w:szCs w:val="24"/>
        </w:rPr>
      </w:pPr>
    </w:p>
    <w:p w14:paraId="2C076E41" w14:textId="77777777" w:rsidR="00773CA6" w:rsidRPr="007F43F6" w:rsidRDefault="00773CA6" w:rsidP="00265626">
      <w:pPr>
        <w:pBdr>
          <w:bottom w:val="single" w:sz="6" w:space="1" w:color="auto"/>
        </w:pBdr>
        <w:spacing w:line="360" w:lineRule="auto"/>
        <w:jc w:val="both"/>
        <w:rPr>
          <w:color w:val="000000"/>
          <w:sz w:val="24"/>
          <w:szCs w:val="24"/>
        </w:rPr>
      </w:pPr>
    </w:p>
    <w:p w14:paraId="69F12D88" w14:textId="77777777" w:rsidR="00773CA6" w:rsidRPr="007F43F6" w:rsidRDefault="00773CA6" w:rsidP="00265626">
      <w:pPr>
        <w:pBdr>
          <w:bottom w:val="single" w:sz="6" w:space="1" w:color="auto"/>
        </w:pBdr>
        <w:spacing w:line="360" w:lineRule="auto"/>
        <w:jc w:val="both"/>
        <w:rPr>
          <w:color w:val="000000"/>
          <w:sz w:val="24"/>
          <w:szCs w:val="24"/>
        </w:rPr>
      </w:pPr>
    </w:p>
    <w:p w14:paraId="35745B91" w14:textId="77777777" w:rsidR="00773CA6" w:rsidRPr="007F43F6" w:rsidRDefault="00773CA6" w:rsidP="00265626">
      <w:pPr>
        <w:pBdr>
          <w:bottom w:val="single" w:sz="6" w:space="1" w:color="auto"/>
        </w:pBdr>
        <w:spacing w:line="360" w:lineRule="auto"/>
        <w:jc w:val="both"/>
        <w:rPr>
          <w:color w:val="000000"/>
          <w:sz w:val="24"/>
          <w:szCs w:val="24"/>
        </w:rPr>
      </w:pPr>
    </w:p>
    <w:p w14:paraId="5C60FA10" w14:textId="77777777" w:rsidR="00773CA6" w:rsidRPr="007F43F6" w:rsidRDefault="00773CA6" w:rsidP="00265626">
      <w:pPr>
        <w:pBdr>
          <w:bottom w:val="single" w:sz="6" w:space="1" w:color="auto"/>
        </w:pBdr>
        <w:spacing w:line="360" w:lineRule="auto"/>
        <w:jc w:val="both"/>
        <w:rPr>
          <w:color w:val="000000"/>
          <w:sz w:val="24"/>
          <w:szCs w:val="24"/>
        </w:rPr>
      </w:pPr>
    </w:p>
    <w:p w14:paraId="5E85AE60" w14:textId="77777777" w:rsidR="00773CA6" w:rsidRPr="007F43F6" w:rsidRDefault="00773CA6" w:rsidP="00265626">
      <w:pPr>
        <w:pBdr>
          <w:bottom w:val="single" w:sz="6" w:space="1" w:color="auto"/>
        </w:pBdr>
        <w:spacing w:line="360" w:lineRule="auto"/>
        <w:jc w:val="both"/>
        <w:rPr>
          <w:color w:val="000000"/>
          <w:sz w:val="24"/>
          <w:szCs w:val="24"/>
        </w:rPr>
      </w:pPr>
    </w:p>
    <w:p w14:paraId="3B4C320A" w14:textId="77777777" w:rsidR="00773CA6" w:rsidRPr="007F43F6" w:rsidRDefault="00773CA6" w:rsidP="00265626">
      <w:pPr>
        <w:pBdr>
          <w:bottom w:val="single" w:sz="6" w:space="1" w:color="auto"/>
        </w:pBdr>
        <w:spacing w:line="360" w:lineRule="auto"/>
        <w:jc w:val="both"/>
        <w:rPr>
          <w:color w:val="000000"/>
          <w:sz w:val="24"/>
          <w:szCs w:val="24"/>
        </w:rPr>
      </w:pPr>
    </w:p>
    <w:p w14:paraId="2C1803D9" w14:textId="77777777" w:rsidR="00773CA6" w:rsidRPr="007F43F6" w:rsidRDefault="00773CA6" w:rsidP="00265626">
      <w:pPr>
        <w:pBdr>
          <w:bottom w:val="single" w:sz="6" w:space="1" w:color="auto"/>
        </w:pBdr>
        <w:spacing w:line="360" w:lineRule="auto"/>
        <w:jc w:val="both"/>
        <w:rPr>
          <w:color w:val="000000"/>
          <w:sz w:val="24"/>
          <w:szCs w:val="24"/>
        </w:rPr>
      </w:pPr>
    </w:p>
    <w:p w14:paraId="4C4B1D4B" w14:textId="77777777" w:rsidR="00773CA6" w:rsidRPr="007F43F6" w:rsidRDefault="00773CA6" w:rsidP="00265626">
      <w:pPr>
        <w:pBdr>
          <w:bottom w:val="single" w:sz="6" w:space="1" w:color="auto"/>
        </w:pBdr>
        <w:spacing w:line="360" w:lineRule="auto"/>
        <w:jc w:val="both"/>
        <w:rPr>
          <w:color w:val="000000"/>
          <w:sz w:val="24"/>
          <w:szCs w:val="24"/>
        </w:rPr>
      </w:pPr>
    </w:p>
    <w:p w14:paraId="5311A64D" w14:textId="77777777" w:rsidR="004350BE" w:rsidRPr="007F43F6" w:rsidRDefault="004350BE" w:rsidP="004350BE">
      <w:pPr>
        <w:pBdr>
          <w:bottom w:val="single" w:sz="6" w:space="1" w:color="auto"/>
        </w:pBdr>
        <w:spacing w:line="360" w:lineRule="auto"/>
        <w:jc w:val="both"/>
        <w:rPr>
          <w:color w:val="000000"/>
          <w:sz w:val="24"/>
          <w:szCs w:val="24"/>
        </w:rPr>
      </w:pPr>
    </w:p>
    <w:p w14:paraId="2C5707E8" w14:textId="77777777" w:rsidR="004350BE" w:rsidRPr="007F43F6" w:rsidRDefault="004350BE" w:rsidP="004350BE">
      <w:pPr>
        <w:pBdr>
          <w:bottom w:val="single" w:sz="6" w:space="1" w:color="auto"/>
        </w:pBdr>
        <w:spacing w:line="360" w:lineRule="auto"/>
        <w:jc w:val="both"/>
        <w:rPr>
          <w:color w:val="000000"/>
          <w:sz w:val="24"/>
          <w:szCs w:val="24"/>
        </w:rPr>
      </w:pPr>
    </w:p>
    <w:p w14:paraId="56A1D850" w14:textId="77777777" w:rsidR="004350BE" w:rsidRPr="007F43F6" w:rsidRDefault="004350BE" w:rsidP="004350BE">
      <w:pPr>
        <w:pBdr>
          <w:bottom w:val="single" w:sz="6" w:space="1" w:color="auto"/>
        </w:pBdr>
        <w:spacing w:line="360" w:lineRule="auto"/>
        <w:jc w:val="both"/>
        <w:rPr>
          <w:color w:val="000000"/>
          <w:sz w:val="24"/>
          <w:szCs w:val="24"/>
        </w:rPr>
      </w:pPr>
    </w:p>
    <w:p w14:paraId="4C6706E2" w14:textId="77777777" w:rsidR="004350BE" w:rsidRPr="007F43F6" w:rsidRDefault="004350BE" w:rsidP="004350BE">
      <w:pPr>
        <w:pBdr>
          <w:bottom w:val="single" w:sz="6" w:space="1" w:color="auto"/>
        </w:pBdr>
        <w:spacing w:line="360" w:lineRule="auto"/>
        <w:jc w:val="both"/>
        <w:rPr>
          <w:color w:val="000000"/>
          <w:sz w:val="24"/>
          <w:szCs w:val="24"/>
        </w:rPr>
      </w:pPr>
    </w:p>
    <w:p w14:paraId="71011C15" w14:textId="77777777" w:rsidR="004350BE" w:rsidRPr="007F43F6" w:rsidRDefault="004350BE" w:rsidP="004350BE">
      <w:pPr>
        <w:pBdr>
          <w:bottom w:val="single" w:sz="6" w:space="1" w:color="auto"/>
        </w:pBdr>
        <w:spacing w:line="360" w:lineRule="auto"/>
        <w:jc w:val="both"/>
        <w:rPr>
          <w:color w:val="000000"/>
          <w:sz w:val="24"/>
          <w:szCs w:val="24"/>
        </w:rPr>
      </w:pPr>
    </w:p>
    <w:p w14:paraId="427E07DF" w14:textId="77777777" w:rsidR="004350BE" w:rsidRPr="007F43F6" w:rsidRDefault="004350BE" w:rsidP="004350BE">
      <w:pPr>
        <w:pBdr>
          <w:bottom w:val="single" w:sz="6" w:space="1" w:color="auto"/>
        </w:pBdr>
        <w:spacing w:line="360" w:lineRule="auto"/>
        <w:jc w:val="both"/>
        <w:rPr>
          <w:color w:val="000000"/>
          <w:sz w:val="24"/>
          <w:szCs w:val="24"/>
        </w:rPr>
      </w:pPr>
    </w:p>
    <w:p w14:paraId="517D9804" w14:textId="77777777" w:rsidR="004350BE" w:rsidRPr="007F43F6" w:rsidRDefault="004350BE" w:rsidP="004350BE">
      <w:pPr>
        <w:pBdr>
          <w:bottom w:val="single" w:sz="6" w:space="1" w:color="auto"/>
        </w:pBdr>
        <w:spacing w:line="360" w:lineRule="auto"/>
        <w:jc w:val="both"/>
        <w:rPr>
          <w:color w:val="000000"/>
          <w:sz w:val="24"/>
          <w:szCs w:val="24"/>
        </w:rPr>
      </w:pPr>
    </w:p>
    <w:p w14:paraId="097CBDF5" w14:textId="77777777" w:rsidR="004350BE" w:rsidRPr="007F43F6" w:rsidRDefault="004350BE" w:rsidP="004350BE">
      <w:pPr>
        <w:pBdr>
          <w:bottom w:val="single" w:sz="6" w:space="1" w:color="auto"/>
        </w:pBdr>
        <w:spacing w:line="360" w:lineRule="auto"/>
        <w:jc w:val="both"/>
        <w:rPr>
          <w:color w:val="000000"/>
          <w:sz w:val="24"/>
          <w:szCs w:val="24"/>
        </w:rPr>
      </w:pPr>
    </w:p>
    <w:p w14:paraId="610E52EC" w14:textId="77777777" w:rsidR="004350BE" w:rsidRPr="007F43F6" w:rsidRDefault="004350BE" w:rsidP="004350BE">
      <w:pPr>
        <w:pBdr>
          <w:bottom w:val="single" w:sz="6" w:space="1" w:color="auto"/>
        </w:pBdr>
        <w:spacing w:line="360" w:lineRule="auto"/>
        <w:jc w:val="both"/>
        <w:rPr>
          <w:color w:val="000000"/>
          <w:sz w:val="24"/>
          <w:szCs w:val="24"/>
        </w:rPr>
      </w:pPr>
    </w:p>
    <w:p w14:paraId="18B0350B" w14:textId="77777777" w:rsidR="004350BE" w:rsidRPr="007F43F6" w:rsidRDefault="004350BE" w:rsidP="004350BE">
      <w:pPr>
        <w:pBdr>
          <w:bottom w:val="single" w:sz="6" w:space="1" w:color="auto"/>
        </w:pBdr>
        <w:spacing w:line="360" w:lineRule="auto"/>
        <w:jc w:val="both"/>
        <w:rPr>
          <w:color w:val="000000"/>
          <w:sz w:val="24"/>
          <w:szCs w:val="24"/>
        </w:rPr>
      </w:pPr>
    </w:p>
    <w:p w14:paraId="15C39D19" w14:textId="77777777" w:rsidR="004350BE" w:rsidRPr="007F43F6" w:rsidRDefault="004350BE" w:rsidP="004350BE">
      <w:pPr>
        <w:pBdr>
          <w:bottom w:val="single" w:sz="6" w:space="1" w:color="auto"/>
        </w:pBdr>
        <w:spacing w:line="360" w:lineRule="auto"/>
        <w:jc w:val="both"/>
        <w:rPr>
          <w:color w:val="000000"/>
          <w:sz w:val="24"/>
          <w:szCs w:val="24"/>
        </w:rPr>
      </w:pPr>
    </w:p>
    <w:p w14:paraId="04F1755A" w14:textId="77777777" w:rsidR="004350BE" w:rsidRPr="007F43F6" w:rsidRDefault="004350BE" w:rsidP="004350BE">
      <w:pPr>
        <w:pBdr>
          <w:bottom w:val="single" w:sz="6" w:space="1" w:color="auto"/>
        </w:pBdr>
        <w:spacing w:line="360" w:lineRule="auto"/>
        <w:jc w:val="both"/>
        <w:rPr>
          <w:color w:val="000000"/>
          <w:sz w:val="24"/>
          <w:szCs w:val="24"/>
        </w:rPr>
      </w:pPr>
    </w:p>
    <w:p w14:paraId="443A12D9" w14:textId="77777777" w:rsidR="004350BE" w:rsidRPr="007F43F6" w:rsidRDefault="004350BE" w:rsidP="004350BE">
      <w:pPr>
        <w:pBdr>
          <w:bottom w:val="single" w:sz="6" w:space="1" w:color="auto"/>
        </w:pBdr>
        <w:spacing w:line="360" w:lineRule="auto"/>
        <w:jc w:val="both"/>
        <w:rPr>
          <w:color w:val="000000"/>
          <w:sz w:val="24"/>
          <w:szCs w:val="24"/>
        </w:rPr>
      </w:pPr>
    </w:p>
    <w:p w14:paraId="17CDC542" w14:textId="77777777" w:rsidR="004350BE" w:rsidRPr="007F43F6" w:rsidRDefault="004350BE" w:rsidP="004350BE">
      <w:pPr>
        <w:pBdr>
          <w:bottom w:val="single" w:sz="6" w:space="1" w:color="auto"/>
        </w:pBdr>
        <w:spacing w:line="360" w:lineRule="auto"/>
        <w:jc w:val="both"/>
        <w:rPr>
          <w:color w:val="000000"/>
          <w:sz w:val="24"/>
          <w:szCs w:val="24"/>
        </w:rPr>
      </w:pPr>
    </w:p>
    <w:p w14:paraId="66726823" w14:textId="77777777" w:rsidR="004350BE" w:rsidRPr="007F43F6" w:rsidRDefault="004350BE" w:rsidP="004350BE">
      <w:pPr>
        <w:pBdr>
          <w:bottom w:val="single" w:sz="6" w:space="1" w:color="auto"/>
        </w:pBdr>
        <w:spacing w:line="360" w:lineRule="auto"/>
        <w:jc w:val="both"/>
        <w:rPr>
          <w:color w:val="000000"/>
          <w:sz w:val="24"/>
          <w:szCs w:val="24"/>
        </w:rPr>
      </w:pPr>
    </w:p>
    <w:p w14:paraId="209E0537" w14:textId="77777777" w:rsidR="004350BE" w:rsidRPr="007F43F6" w:rsidRDefault="004350BE" w:rsidP="00F1652A">
      <w:pPr>
        <w:pBdr>
          <w:bottom w:val="single" w:sz="6" w:space="1" w:color="auto"/>
        </w:pBdr>
        <w:spacing w:line="360" w:lineRule="auto"/>
        <w:jc w:val="both"/>
        <w:rPr>
          <w:color w:val="000000"/>
          <w:sz w:val="24"/>
          <w:szCs w:val="24"/>
        </w:rPr>
      </w:pPr>
    </w:p>
    <w:p w14:paraId="1348F8C8" w14:textId="77777777" w:rsidR="001F6C83" w:rsidRPr="007F43F6" w:rsidRDefault="001F6C83" w:rsidP="00F1652A">
      <w:pPr>
        <w:pBdr>
          <w:bottom w:val="single" w:sz="6" w:space="1" w:color="auto"/>
        </w:pBdr>
        <w:spacing w:line="360" w:lineRule="auto"/>
        <w:jc w:val="both"/>
        <w:rPr>
          <w:color w:val="000000"/>
          <w:sz w:val="24"/>
          <w:szCs w:val="24"/>
        </w:rPr>
      </w:pPr>
    </w:p>
    <w:p w14:paraId="59664A91" w14:textId="77777777" w:rsidR="001F6C83" w:rsidRPr="007F43F6" w:rsidRDefault="001F6C83" w:rsidP="00F1652A">
      <w:pPr>
        <w:pBdr>
          <w:bottom w:val="single" w:sz="6" w:space="1" w:color="auto"/>
        </w:pBdr>
        <w:spacing w:line="360" w:lineRule="auto"/>
        <w:jc w:val="both"/>
        <w:rPr>
          <w:color w:val="000000"/>
          <w:sz w:val="24"/>
          <w:szCs w:val="24"/>
        </w:rPr>
      </w:pPr>
    </w:p>
    <w:p w14:paraId="06F61C78" w14:textId="77777777" w:rsidR="001F6C83" w:rsidRPr="007F43F6" w:rsidRDefault="001F6C83" w:rsidP="00F1652A">
      <w:pPr>
        <w:pBdr>
          <w:bottom w:val="single" w:sz="6" w:space="1" w:color="auto"/>
        </w:pBdr>
        <w:spacing w:line="360" w:lineRule="auto"/>
        <w:jc w:val="both"/>
        <w:rPr>
          <w:color w:val="000000"/>
          <w:sz w:val="24"/>
          <w:szCs w:val="24"/>
        </w:rPr>
      </w:pPr>
    </w:p>
    <w:p w14:paraId="138F76C3" w14:textId="77777777" w:rsidR="001F6C83" w:rsidRPr="007F43F6" w:rsidRDefault="001F6C83" w:rsidP="00F1652A">
      <w:pPr>
        <w:pBdr>
          <w:bottom w:val="single" w:sz="6" w:space="1" w:color="auto"/>
        </w:pBdr>
        <w:spacing w:line="360" w:lineRule="auto"/>
        <w:jc w:val="both"/>
        <w:rPr>
          <w:color w:val="000000"/>
          <w:sz w:val="24"/>
          <w:szCs w:val="24"/>
        </w:rPr>
      </w:pPr>
    </w:p>
    <w:p w14:paraId="04287F90" w14:textId="77777777" w:rsidR="001F6C83" w:rsidRPr="007F43F6" w:rsidRDefault="001F6C83" w:rsidP="00F1652A">
      <w:pPr>
        <w:pBdr>
          <w:bottom w:val="single" w:sz="6" w:space="1" w:color="auto"/>
        </w:pBdr>
        <w:spacing w:line="360" w:lineRule="auto"/>
        <w:jc w:val="both"/>
        <w:rPr>
          <w:color w:val="000000"/>
          <w:sz w:val="24"/>
          <w:szCs w:val="24"/>
        </w:rPr>
      </w:pPr>
    </w:p>
    <w:p w14:paraId="7A3B9315" w14:textId="77777777" w:rsidR="001F6C83" w:rsidRPr="007F43F6" w:rsidRDefault="001F6C83" w:rsidP="00F1652A">
      <w:pPr>
        <w:pBdr>
          <w:bottom w:val="single" w:sz="6" w:space="1" w:color="auto"/>
        </w:pBdr>
        <w:spacing w:line="360" w:lineRule="auto"/>
        <w:jc w:val="both"/>
        <w:rPr>
          <w:color w:val="000000"/>
          <w:sz w:val="24"/>
          <w:szCs w:val="24"/>
        </w:rPr>
      </w:pPr>
    </w:p>
    <w:p w14:paraId="73E75ACD" w14:textId="77777777" w:rsidR="001F6C83" w:rsidRPr="007F43F6" w:rsidRDefault="001F6C83" w:rsidP="00F1652A">
      <w:pPr>
        <w:pBdr>
          <w:bottom w:val="single" w:sz="6" w:space="1" w:color="auto"/>
        </w:pBdr>
        <w:spacing w:line="360" w:lineRule="auto"/>
        <w:jc w:val="both"/>
        <w:rPr>
          <w:color w:val="000000"/>
          <w:sz w:val="24"/>
          <w:szCs w:val="24"/>
        </w:rPr>
      </w:pPr>
    </w:p>
    <w:p w14:paraId="6B959ED6" w14:textId="77777777" w:rsidR="001F6C83" w:rsidRPr="007F43F6" w:rsidRDefault="001F6C83" w:rsidP="00F1652A">
      <w:pPr>
        <w:pBdr>
          <w:bottom w:val="single" w:sz="6" w:space="1" w:color="auto"/>
        </w:pBdr>
        <w:spacing w:line="360" w:lineRule="auto"/>
        <w:jc w:val="both"/>
        <w:rPr>
          <w:color w:val="000000"/>
          <w:sz w:val="24"/>
          <w:szCs w:val="24"/>
        </w:rPr>
      </w:pPr>
    </w:p>
    <w:p w14:paraId="78DC8B9D" w14:textId="77777777" w:rsidR="001F6C83" w:rsidRPr="007F43F6" w:rsidRDefault="001F6C83" w:rsidP="00F1652A">
      <w:pPr>
        <w:pBdr>
          <w:bottom w:val="single" w:sz="6" w:space="1" w:color="auto"/>
        </w:pBdr>
        <w:spacing w:line="360" w:lineRule="auto"/>
        <w:jc w:val="both"/>
        <w:rPr>
          <w:color w:val="000000"/>
          <w:sz w:val="24"/>
          <w:szCs w:val="24"/>
        </w:rPr>
      </w:pPr>
    </w:p>
    <w:p w14:paraId="4CF428F3" w14:textId="77777777" w:rsidR="001F6C83" w:rsidRPr="007F43F6" w:rsidRDefault="001F6C83" w:rsidP="00F1652A">
      <w:pPr>
        <w:pBdr>
          <w:bottom w:val="single" w:sz="6" w:space="1" w:color="auto"/>
        </w:pBdr>
        <w:spacing w:line="360" w:lineRule="auto"/>
        <w:jc w:val="both"/>
        <w:rPr>
          <w:color w:val="000000"/>
          <w:sz w:val="24"/>
          <w:szCs w:val="24"/>
        </w:rPr>
      </w:pPr>
    </w:p>
    <w:p w14:paraId="503F1899" w14:textId="77777777" w:rsidR="001F6C83" w:rsidRPr="007F43F6" w:rsidRDefault="001F6C83" w:rsidP="00F1652A">
      <w:pPr>
        <w:pBdr>
          <w:bottom w:val="single" w:sz="6" w:space="1" w:color="auto"/>
        </w:pBdr>
        <w:spacing w:line="360" w:lineRule="auto"/>
        <w:jc w:val="both"/>
        <w:rPr>
          <w:color w:val="000000"/>
          <w:sz w:val="24"/>
          <w:szCs w:val="24"/>
        </w:rPr>
      </w:pPr>
    </w:p>
    <w:p w14:paraId="44C88554" w14:textId="77777777" w:rsidR="001F6C83" w:rsidRPr="007F43F6" w:rsidRDefault="001F6C83" w:rsidP="00F1652A">
      <w:pPr>
        <w:pBdr>
          <w:bottom w:val="single" w:sz="6" w:space="1" w:color="auto"/>
        </w:pBdr>
        <w:spacing w:line="360" w:lineRule="auto"/>
        <w:jc w:val="both"/>
        <w:rPr>
          <w:color w:val="000000"/>
          <w:sz w:val="24"/>
          <w:szCs w:val="24"/>
        </w:rPr>
      </w:pPr>
    </w:p>
    <w:p w14:paraId="0193A67C" w14:textId="77777777" w:rsidR="001F6C83" w:rsidRPr="007F43F6" w:rsidRDefault="001F6C83" w:rsidP="00F1652A">
      <w:pPr>
        <w:pBdr>
          <w:bottom w:val="single" w:sz="6" w:space="1" w:color="auto"/>
        </w:pBdr>
        <w:spacing w:line="360" w:lineRule="auto"/>
        <w:jc w:val="both"/>
        <w:rPr>
          <w:color w:val="000000"/>
          <w:sz w:val="24"/>
          <w:szCs w:val="24"/>
        </w:rPr>
      </w:pPr>
    </w:p>
    <w:p w14:paraId="309B5C05" w14:textId="77777777" w:rsidR="001F6C83" w:rsidRPr="007F43F6" w:rsidRDefault="001F6C83" w:rsidP="00F1652A">
      <w:pPr>
        <w:pBdr>
          <w:bottom w:val="single" w:sz="6" w:space="1" w:color="auto"/>
        </w:pBdr>
        <w:spacing w:line="360" w:lineRule="auto"/>
        <w:jc w:val="both"/>
        <w:rPr>
          <w:color w:val="000000"/>
          <w:sz w:val="24"/>
          <w:szCs w:val="24"/>
        </w:rPr>
      </w:pPr>
    </w:p>
    <w:p w14:paraId="7464C342" w14:textId="77777777" w:rsidR="001F6C83" w:rsidRPr="007F43F6" w:rsidRDefault="001F6C83" w:rsidP="00F1652A">
      <w:pPr>
        <w:pBdr>
          <w:bottom w:val="single" w:sz="6" w:space="1" w:color="auto"/>
        </w:pBdr>
        <w:spacing w:line="360" w:lineRule="auto"/>
        <w:jc w:val="both"/>
        <w:rPr>
          <w:color w:val="000000"/>
          <w:sz w:val="24"/>
          <w:szCs w:val="24"/>
        </w:rPr>
      </w:pPr>
    </w:p>
    <w:p w14:paraId="191D6A3E" w14:textId="77777777" w:rsidR="001F6C83" w:rsidRPr="007F43F6" w:rsidRDefault="001F6C83" w:rsidP="00F1652A">
      <w:pPr>
        <w:pBdr>
          <w:bottom w:val="single" w:sz="6" w:space="1" w:color="auto"/>
        </w:pBdr>
        <w:spacing w:line="360" w:lineRule="auto"/>
        <w:jc w:val="both"/>
        <w:rPr>
          <w:color w:val="000000"/>
          <w:sz w:val="24"/>
          <w:szCs w:val="24"/>
        </w:rPr>
      </w:pPr>
    </w:p>
    <w:p w14:paraId="5FE34615" w14:textId="77777777" w:rsidR="00BD4BDC" w:rsidRPr="007F43F6" w:rsidRDefault="00BD4BDC" w:rsidP="00914689">
      <w:pPr>
        <w:jc w:val="both"/>
        <w:rPr>
          <w:color w:val="000000"/>
          <w:sz w:val="24"/>
          <w:szCs w:val="24"/>
        </w:rPr>
      </w:pPr>
    </w:p>
    <w:sectPr w:rsidR="00BD4BDC" w:rsidRPr="007F43F6" w:rsidSect="003F28F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3650"/>
    <w:multiLevelType w:val="hybridMultilevel"/>
    <w:tmpl w:val="0830520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EA7854"/>
    <w:multiLevelType w:val="hybridMultilevel"/>
    <w:tmpl w:val="21A4FA5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1705FC"/>
    <w:multiLevelType w:val="hybridMultilevel"/>
    <w:tmpl w:val="FFFFFFFF"/>
    <w:lvl w:ilvl="0" w:tplc="9D4A9E50">
      <w:start w:val="1"/>
      <w:numFmt w:val="bullet"/>
      <w:lvlText w:val="●"/>
      <w:lvlJc w:val="left"/>
      <w:pPr>
        <w:ind w:left="720" w:hanging="360"/>
      </w:pPr>
    </w:lvl>
    <w:lvl w:ilvl="1" w:tplc="E7CAD60E">
      <w:start w:val="1"/>
      <w:numFmt w:val="bullet"/>
      <w:lvlText w:val="○"/>
      <w:lvlJc w:val="left"/>
      <w:pPr>
        <w:ind w:left="1440" w:hanging="360"/>
      </w:pPr>
    </w:lvl>
    <w:lvl w:ilvl="2" w:tplc="8E889810">
      <w:start w:val="1"/>
      <w:numFmt w:val="bullet"/>
      <w:lvlText w:val="■"/>
      <w:lvlJc w:val="left"/>
      <w:pPr>
        <w:ind w:left="2160" w:hanging="360"/>
      </w:pPr>
    </w:lvl>
    <w:lvl w:ilvl="3" w:tplc="3E5E01AA">
      <w:start w:val="1"/>
      <w:numFmt w:val="bullet"/>
      <w:lvlText w:val="●"/>
      <w:lvlJc w:val="left"/>
      <w:pPr>
        <w:ind w:left="2880" w:hanging="360"/>
      </w:pPr>
    </w:lvl>
    <w:lvl w:ilvl="4" w:tplc="0D8E5F78">
      <w:start w:val="1"/>
      <w:numFmt w:val="bullet"/>
      <w:lvlText w:val="○"/>
      <w:lvlJc w:val="left"/>
      <w:pPr>
        <w:ind w:left="3600" w:hanging="360"/>
      </w:pPr>
    </w:lvl>
    <w:lvl w:ilvl="5" w:tplc="EAEABB9A">
      <w:start w:val="1"/>
      <w:numFmt w:val="bullet"/>
      <w:lvlText w:val="■"/>
      <w:lvlJc w:val="left"/>
      <w:pPr>
        <w:ind w:left="4320" w:hanging="360"/>
      </w:pPr>
    </w:lvl>
    <w:lvl w:ilvl="6" w:tplc="9E18A356">
      <w:start w:val="1"/>
      <w:numFmt w:val="bullet"/>
      <w:lvlText w:val="●"/>
      <w:lvlJc w:val="left"/>
      <w:pPr>
        <w:ind w:left="5040" w:hanging="360"/>
      </w:pPr>
    </w:lvl>
    <w:lvl w:ilvl="7" w:tplc="CB56283A">
      <w:start w:val="1"/>
      <w:numFmt w:val="bullet"/>
      <w:lvlText w:val="●"/>
      <w:lvlJc w:val="left"/>
      <w:pPr>
        <w:ind w:left="5760" w:hanging="360"/>
      </w:pPr>
    </w:lvl>
    <w:lvl w:ilvl="8" w:tplc="A686E0EE">
      <w:start w:val="1"/>
      <w:numFmt w:val="bullet"/>
      <w:lvlText w:val="●"/>
      <w:lvlJc w:val="left"/>
      <w:pPr>
        <w:ind w:left="6480" w:hanging="360"/>
      </w:pPr>
    </w:lvl>
  </w:abstractNum>
  <w:abstractNum w:abstractNumId="3" w15:restartNumberingAfterBreak="0">
    <w:nsid w:val="5FD41C39"/>
    <w:multiLevelType w:val="hybridMultilevel"/>
    <w:tmpl w:val="B56A4B0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540434">
    <w:abstractNumId w:val="2"/>
    <w:lvlOverride w:ilvl="0">
      <w:startOverride w:val="1"/>
    </w:lvlOverride>
  </w:num>
  <w:num w:numId="2" w16cid:durableId="1565876806">
    <w:abstractNumId w:val="3"/>
  </w:num>
  <w:num w:numId="3" w16cid:durableId="1556158838">
    <w:abstractNumId w:val="0"/>
  </w:num>
  <w:num w:numId="4" w16cid:durableId="272439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180"/>
    <w:rsid w:val="00001ACF"/>
    <w:rsid w:val="00005D84"/>
    <w:rsid w:val="00010568"/>
    <w:rsid w:val="00010645"/>
    <w:rsid w:val="00016FF5"/>
    <w:rsid w:val="000227A2"/>
    <w:rsid w:val="00031381"/>
    <w:rsid w:val="0004270D"/>
    <w:rsid w:val="00043313"/>
    <w:rsid w:val="00076CDA"/>
    <w:rsid w:val="00082771"/>
    <w:rsid w:val="00091D49"/>
    <w:rsid w:val="000A0637"/>
    <w:rsid w:val="000A3150"/>
    <w:rsid w:val="000A5613"/>
    <w:rsid w:val="000A6849"/>
    <w:rsid w:val="000C496D"/>
    <w:rsid w:val="000D3DCE"/>
    <w:rsid w:val="000F17E6"/>
    <w:rsid w:val="00106F97"/>
    <w:rsid w:val="001074C0"/>
    <w:rsid w:val="001100DC"/>
    <w:rsid w:val="00113931"/>
    <w:rsid w:val="00120659"/>
    <w:rsid w:val="0012158F"/>
    <w:rsid w:val="0015323C"/>
    <w:rsid w:val="00154434"/>
    <w:rsid w:val="0016161C"/>
    <w:rsid w:val="00165DC1"/>
    <w:rsid w:val="00166FEC"/>
    <w:rsid w:val="00184DDA"/>
    <w:rsid w:val="00185362"/>
    <w:rsid w:val="0019495D"/>
    <w:rsid w:val="00196554"/>
    <w:rsid w:val="001B43FF"/>
    <w:rsid w:val="001B6194"/>
    <w:rsid w:val="001C705D"/>
    <w:rsid w:val="001D375B"/>
    <w:rsid w:val="001E19EF"/>
    <w:rsid w:val="001F4354"/>
    <w:rsid w:val="001F6C83"/>
    <w:rsid w:val="00204292"/>
    <w:rsid w:val="00216E8D"/>
    <w:rsid w:val="00217D15"/>
    <w:rsid w:val="00223701"/>
    <w:rsid w:val="0022648B"/>
    <w:rsid w:val="002310D7"/>
    <w:rsid w:val="002664BC"/>
    <w:rsid w:val="0027145C"/>
    <w:rsid w:val="00273996"/>
    <w:rsid w:val="00273B8D"/>
    <w:rsid w:val="0029104B"/>
    <w:rsid w:val="002928C3"/>
    <w:rsid w:val="002963A6"/>
    <w:rsid w:val="002A63BA"/>
    <w:rsid w:val="002B3E99"/>
    <w:rsid w:val="002C6FB8"/>
    <w:rsid w:val="002D674E"/>
    <w:rsid w:val="002E2D19"/>
    <w:rsid w:val="002E566D"/>
    <w:rsid w:val="002F2B3A"/>
    <w:rsid w:val="002F3688"/>
    <w:rsid w:val="002F54FA"/>
    <w:rsid w:val="0030099C"/>
    <w:rsid w:val="00306CC0"/>
    <w:rsid w:val="00317B6C"/>
    <w:rsid w:val="00333665"/>
    <w:rsid w:val="0033524E"/>
    <w:rsid w:val="00347441"/>
    <w:rsid w:val="0035717E"/>
    <w:rsid w:val="003609F7"/>
    <w:rsid w:val="003714C2"/>
    <w:rsid w:val="0038735A"/>
    <w:rsid w:val="0039225D"/>
    <w:rsid w:val="003A4907"/>
    <w:rsid w:val="003A5014"/>
    <w:rsid w:val="003B6008"/>
    <w:rsid w:val="003D33A6"/>
    <w:rsid w:val="003D5CAB"/>
    <w:rsid w:val="003F0730"/>
    <w:rsid w:val="003F28FF"/>
    <w:rsid w:val="004128FA"/>
    <w:rsid w:val="00422BB1"/>
    <w:rsid w:val="00423318"/>
    <w:rsid w:val="00424B51"/>
    <w:rsid w:val="00425BF0"/>
    <w:rsid w:val="004317CE"/>
    <w:rsid w:val="00431C25"/>
    <w:rsid w:val="0043375B"/>
    <w:rsid w:val="004350BE"/>
    <w:rsid w:val="004429CA"/>
    <w:rsid w:val="00443625"/>
    <w:rsid w:val="00446550"/>
    <w:rsid w:val="0046084F"/>
    <w:rsid w:val="0047167B"/>
    <w:rsid w:val="004722E1"/>
    <w:rsid w:val="00474A88"/>
    <w:rsid w:val="00492382"/>
    <w:rsid w:val="004926F7"/>
    <w:rsid w:val="004B04C1"/>
    <w:rsid w:val="004B10F3"/>
    <w:rsid w:val="004B4A06"/>
    <w:rsid w:val="004C45C9"/>
    <w:rsid w:val="004D5B97"/>
    <w:rsid w:val="004E193A"/>
    <w:rsid w:val="004F1C19"/>
    <w:rsid w:val="004F42EB"/>
    <w:rsid w:val="004F5E8A"/>
    <w:rsid w:val="00510C48"/>
    <w:rsid w:val="0051337B"/>
    <w:rsid w:val="0051368D"/>
    <w:rsid w:val="00513886"/>
    <w:rsid w:val="00520616"/>
    <w:rsid w:val="0052262E"/>
    <w:rsid w:val="0052555F"/>
    <w:rsid w:val="00525C92"/>
    <w:rsid w:val="00542FE7"/>
    <w:rsid w:val="00545D6B"/>
    <w:rsid w:val="005616AE"/>
    <w:rsid w:val="005758FD"/>
    <w:rsid w:val="005845A7"/>
    <w:rsid w:val="0059406B"/>
    <w:rsid w:val="005A1326"/>
    <w:rsid w:val="005A323D"/>
    <w:rsid w:val="005A4F03"/>
    <w:rsid w:val="005B0E15"/>
    <w:rsid w:val="005B23CA"/>
    <w:rsid w:val="005B6065"/>
    <w:rsid w:val="005B6C15"/>
    <w:rsid w:val="005B72D4"/>
    <w:rsid w:val="005B7E16"/>
    <w:rsid w:val="005C179B"/>
    <w:rsid w:val="005D1485"/>
    <w:rsid w:val="005D222B"/>
    <w:rsid w:val="005D502F"/>
    <w:rsid w:val="005E7AC5"/>
    <w:rsid w:val="005F7DB9"/>
    <w:rsid w:val="0060258F"/>
    <w:rsid w:val="00607CCA"/>
    <w:rsid w:val="00613EFF"/>
    <w:rsid w:val="006308C6"/>
    <w:rsid w:val="0063550E"/>
    <w:rsid w:val="00642E06"/>
    <w:rsid w:val="006436FE"/>
    <w:rsid w:val="006447D8"/>
    <w:rsid w:val="00652102"/>
    <w:rsid w:val="0065223A"/>
    <w:rsid w:val="006639E2"/>
    <w:rsid w:val="00665CF3"/>
    <w:rsid w:val="006667BE"/>
    <w:rsid w:val="0067112E"/>
    <w:rsid w:val="0067405E"/>
    <w:rsid w:val="00676257"/>
    <w:rsid w:val="006861A0"/>
    <w:rsid w:val="00691B98"/>
    <w:rsid w:val="006A3336"/>
    <w:rsid w:val="006D1706"/>
    <w:rsid w:val="006F0086"/>
    <w:rsid w:val="006F2F96"/>
    <w:rsid w:val="006F4844"/>
    <w:rsid w:val="006F4C82"/>
    <w:rsid w:val="00700F7E"/>
    <w:rsid w:val="00722C75"/>
    <w:rsid w:val="00730909"/>
    <w:rsid w:val="007348AB"/>
    <w:rsid w:val="007463BA"/>
    <w:rsid w:val="00756D0E"/>
    <w:rsid w:val="007628AC"/>
    <w:rsid w:val="00770AF3"/>
    <w:rsid w:val="00773CA6"/>
    <w:rsid w:val="00784B6C"/>
    <w:rsid w:val="007907ED"/>
    <w:rsid w:val="00795B43"/>
    <w:rsid w:val="007B0BE9"/>
    <w:rsid w:val="007B4D77"/>
    <w:rsid w:val="007C062E"/>
    <w:rsid w:val="007C0CA0"/>
    <w:rsid w:val="007C0D12"/>
    <w:rsid w:val="007C7E4F"/>
    <w:rsid w:val="007D6FDF"/>
    <w:rsid w:val="007E2FAA"/>
    <w:rsid w:val="007F43F6"/>
    <w:rsid w:val="008067AF"/>
    <w:rsid w:val="008254B3"/>
    <w:rsid w:val="0082618C"/>
    <w:rsid w:val="0083109F"/>
    <w:rsid w:val="008505E1"/>
    <w:rsid w:val="00871B18"/>
    <w:rsid w:val="00880722"/>
    <w:rsid w:val="00884555"/>
    <w:rsid w:val="00884CFC"/>
    <w:rsid w:val="0088746B"/>
    <w:rsid w:val="00892460"/>
    <w:rsid w:val="008936F7"/>
    <w:rsid w:val="008A0DD5"/>
    <w:rsid w:val="008A39FA"/>
    <w:rsid w:val="008B1951"/>
    <w:rsid w:val="008B3D8A"/>
    <w:rsid w:val="008B627E"/>
    <w:rsid w:val="008D5C0F"/>
    <w:rsid w:val="008E1EE2"/>
    <w:rsid w:val="008E39C1"/>
    <w:rsid w:val="008E3FBC"/>
    <w:rsid w:val="008F1A25"/>
    <w:rsid w:val="00914689"/>
    <w:rsid w:val="009170AC"/>
    <w:rsid w:val="00931E42"/>
    <w:rsid w:val="00932F52"/>
    <w:rsid w:val="00934E22"/>
    <w:rsid w:val="00935B4F"/>
    <w:rsid w:val="0095179E"/>
    <w:rsid w:val="0095558F"/>
    <w:rsid w:val="00977CC0"/>
    <w:rsid w:val="0099331C"/>
    <w:rsid w:val="009A6678"/>
    <w:rsid w:val="009A6B2F"/>
    <w:rsid w:val="009C5FA6"/>
    <w:rsid w:val="009D135F"/>
    <w:rsid w:val="009D2793"/>
    <w:rsid w:val="009D7B2D"/>
    <w:rsid w:val="009F40B0"/>
    <w:rsid w:val="009F79F9"/>
    <w:rsid w:val="00A13986"/>
    <w:rsid w:val="00A14DC6"/>
    <w:rsid w:val="00A31816"/>
    <w:rsid w:val="00A34984"/>
    <w:rsid w:val="00A46FF0"/>
    <w:rsid w:val="00A55EB2"/>
    <w:rsid w:val="00A55FBC"/>
    <w:rsid w:val="00A5675F"/>
    <w:rsid w:val="00A57925"/>
    <w:rsid w:val="00A604D0"/>
    <w:rsid w:val="00A77F20"/>
    <w:rsid w:val="00A90525"/>
    <w:rsid w:val="00A96072"/>
    <w:rsid w:val="00AB0874"/>
    <w:rsid w:val="00AB25DE"/>
    <w:rsid w:val="00AB31D0"/>
    <w:rsid w:val="00AC53E3"/>
    <w:rsid w:val="00AE1DCF"/>
    <w:rsid w:val="00AF1210"/>
    <w:rsid w:val="00AF3632"/>
    <w:rsid w:val="00AF3C8A"/>
    <w:rsid w:val="00AF3E87"/>
    <w:rsid w:val="00B26E4A"/>
    <w:rsid w:val="00B468CC"/>
    <w:rsid w:val="00B734C1"/>
    <w:rsid w:val="00B83AF5"/>
    <w:rsid w:val="00BA0552"/>
    <w:rsid w:val="00BA1615"/>
    <w:rsid w:val="00BA1BDC"/>
    <w:rsid w:val="00BA7F66"/>
    <w:rsid w:val="00BB3C86"/>
    <w:rsid w:val="00BC0A6E"/>
    <w:rsid w:val="00BC1526"/>
    <w:rsid w:val="00BC5115"/>
    <w:rsid w:val="00BC554C"/>
    <w:rsid w:val="00BC5D97"/>
    <w:rsid w:val="00BD4BDC"/>
    <w:rsid w:val="00BF2494"/>
    <w:rsid w:val="00BF33D2"/>
    <w:rsid w:val="00C064B9"/>
    <w:rsid w:val="00C1377D"/>
    <w:rsid w:val="00C23F86"/>
    <w:rsid w:val="00C26CE7"/>
    <w:rsid w:val="00C37DBC"/>
    <w:rsid w:val="00C44589"/>
    <w:rsid w:val="00C55A18"/>
    <w:rsid w:val="00C62488"/>
    <w:rsid w:val="00C745F2"/>
    <w:rsid w:val="00C7585E"/>
    <w:rsid w:val="00C81349"/>
    <w:rsid w:val="00C87E54"/>
    <w:rsid w:val="00C927F1"/>
    <w:rsid w:val="00C971B3"/>
    <w:rsid w:val="00C97C59"/>
    <w:rsid w:val="00CB6369"/>
    <w:rsid w:val="00CC3AB3"/>
    <w:rsid w:val="00CC3ED7"/>
    <w:rsid w:val="00CD0F3D"/>
    <w:rsid w:val="00CD2C9C"/>
    <w:rsid w:val="00CE104D"/>
    <w:rsid w:val="00CE5BF2"/>
    <w:rsid w:val="00CF06C0"/>
    <w:rsid w:val="00CF3BFC"/>
    <w:rsid w:val="00CF50DC"/>
    <w:rsid w:val="00D00CED"/>
    <w:rsid w:val="00D21BB5"/>
    <w:rsid w:val="00D3558B"/>
    <w:rsid w:val="00D459AA"/>
    <w:rsid w:val="00D51F5F"/>
    <w:rsid w:val="00D62361"/>
    <w:rsid w:val="00D84EDA"/>
    <w:rsid w:val="00DB1D54"/>
    <w:rsid w:val="00DC67BB"/>
    <w:rsid w:val="00DE06C7"/>
    <w:rsid w:val="00DE0B20"/>
    <w:rsid w:val="00DE1D28"/>
    <w:rsid w:val="00E0373D"/>
    <w:rsid w:val="00E15302"/>
    <w:rsid w:val="00E16FFF"/>
    <w:rsid w:val="00E31E10"/>
    <w:rsid w:val="00E336F5"/>
    <w:rsid w:val="00E37DEB"/>
    <w:rsid w:val="00E45416"/>
    <w:rsid w:val="00E50ABD"/>
    <w:rsid w:val="00E65691"/>
    <w:rsid w:val="00E774D5"/>
    <w:rsid w:val="00EA73F5"/>
    <w:rsid w:val="00EC2C8E"/>
    <w:rsid w:val="00ED1E59"/>
    <w:rsid w:val="00ED4BB1"/>
    <w:rsid w:val="00ED578A"/>
    <w:rsid w:val="00EE2A44"/>
    <w:rsid w:val="00EF2AAD"/>
    <w:rsid w:val="00EF79BD"/>
    <w:rsid w:val="00F040D2"/>
    <w:rsid w:val="00F06104"/>
    <w:rsid w:val="00F07F66"/>
    <w:rsid w:val="00F10C87"/>
    <w:rsid w:val="00F158E8"/>
    <w:rsid w:val="00F1652A"/>
    <w:rsid w:val="00F20323"/>
    <w:rsid w:val="00F205A4"/>
    <w:rsid w:val="00F4538F"/>
    <w:rsid w:val="00F5295C"/>
    <w:rsid w:val="00F52DE7"/>
    <w:rsid w:val="00F62FCF"/>
    <w:rsid w:val="00F643B0"/>
    <w:rsid w:val="00F67DEC"/>
    <w:rsid w:val="00F70677"/>
    <w:rsid w:val="00F70818"/>
    <w:rsid w:val="00F729AD"/>
    <w:rsid w:val="00F95180"/>
    <w:rsid w:val="00FA02EA"/>
    <w:rsid w:val="00FA154A"/>
    <w:rsid w:val="00FB2A19"/>
    <w:rsid w:val="00FB2AF0"/>
    <w:rsid w:val="00FB333C"/>
    <w:rsid w:val="00FD349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FE19"/>
  <w15:docId w15:val="{B0C4E13B-82A0-BB43-8161-5D382787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9A6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488861">
      <w:bodyDiv w:val="1"/>
      <w:marLeft w:val="0"/>
      <w:marRight w:val="0"/>
      <w:marTop w:val="0"/>
      <w:marBottom w:val="0"/>
      <w:divBdr>
        <w:top w:val="none" w:sz="0" w:space="0" w:color="auto"/>
        <w:left w:val="none" w:sz="0" w:space="0" w:color="auto"/>
        <w:bottom w:val="none" w:sz="0" w:space="0" w:color="auto"/>
        <w:right w:val="none" w:sz="0" w:space="0" w:color="auto"/>
      </w:divBdr>
    </w:div>
    <w:div w:id="1944923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yushdhara.in/index.php/ayushdhara/article/view/1560" TargetMode="External"/><Relationship Id="rId3" Type="http://schemas.openxmlformats.org/officeDocument/2006/relationships/settings" Target="settings.xml"/><Relationship Id="rId7" Type="http://schemas.openxmlformats.org/officeDocument/2006/relationships/hyperlink" Target="https://ayushdhara.in/index.php/ayushdhara/article/view/15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namkanzode@gmail.com" TargetMode="External"/><Relationship Id="rId5" Type="http://schemas.openxmlformats.org/officeDocument/2006/relationships/hyperlink" Target="mailto:rahulgupta20696@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5436</Words>
  <Characters>30989</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sonam andelkar</cp:lastModifiedBy>
  <cp:revision>4</cp:revision>
  <dcterms:created xsi:type="dcterms:W3CDTF">2026-08-31T23:41:00Z</dcterms:created>
  <dcterms:modified xsi:type="dcterms:W3CDTF">2026-09-01T04:57:00Z</dcterms:modified>
</cp:coreProperties>
</file>